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keepNext w:val="false"/>
        <w:keepLines w:val="false"/>
        <w:pageBreakBefore w:val="false"/>
        <w:widowControl/>
        <w:shd w:val="clear" w:fill="auto"/>
        <w:spacing w:lineRule="auto" w:line="276" w:before="4" w:after="0"/>
        <w:ind w:hanging="0" w:left="0"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0" w:name="bookmark=id.gjdgxs"/>
      <w:bookmarkStart w:id="1" w:name="bookmark=id.gjdgxs"/>
      <w:bookmarkEnd w:id="1"/>
    </w:p>
    <w:p>
      <w:pPr>
        <w:pStyle w:val="Title"/>
        <w:spacing w:lineRule="auto" w:line="276"/>
        <w:ind w:hanging="0" w:left="1985" w:right="2184"/>
        <w:rPr>
          <w:sz w:val="24"/>
          <w:szCs w:val="24"/>
        </w:rPr>
      </w:pPr>
      <w:bookmarkStart w:id="2" w:name="bookmark=id.gjdgxs_Copia_1"/>
      <w:bookmarkEnd w:id="2"/>
      <w:r>
        <w:rPr>
          <w:sz w:val="24"/>
          <w:szCs w:val="24"/>
        </w:rPr>
        <w:t xml:space="preserve">Estudo Técnico Preliminar </w:t>
      </w:r>
      <w:r>
        <w:rPr>
          <w:color w:val="auto"/>
          <w:sz w:val="24"/>
          <w:szCs w:val="24"/>
        </w:rPr>
        <w:t>27</w:t>
      </w:r>
      <w:r>
        <w:rPr>
          <w:sz w:val="24"/>
          <w:szCs w:val="24"/>
        </w:rPr>
        <w:t>/2024</w:t>
      </w:r>
    </w:p>
    <w:p>
      <w:pPr>
        <w:pStyle w:val="normal1"/>
        <w:keepNext w:val="false"/>
        <w:keepLines w:val="false"/>
        <w:pageBreakBefore w:val="false"/>
        <w:widowControl/>
        <w:shd w:val="clear" w:fill="auto"/>
        <w:spacing w:lineRule="auto" w:line="276" w:before="0" w:after="0"/>
        <w:ind w:hanging="0" w:left="0"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r>
      <w:bookmarkStart w:id="3" w:name="bookmark=id.30j0zll"/>
      <w:bookmarkStart w:id="4" w:name="bookmark=id.30j0zll"/>
      <w:bookmarkEnd w:id="4"/>
    </w:p>
    <w:p>
      <w:pPr>
        <w:pStyle w:val="Heading1"/>
        <w:numPr>
          <w:ilvl w:val="0"/>
          <w:numId w:val="1"/>
        </w:numPr>
        <w:tabs>
          <w:tab w:val="clear" w:pos="720"/>
          <w:tab w:val="left" w:pos="384" w:leader="none"/>
        </w:tabs>
        <w:spacing w:lineRule="auto" w:line="276" w:before="268" w:after="0"/>
        <w:ind w:hanging="270" w:left="384"/>
        <w:rPr>
          <w:sz w:val="24"/>
          <w:szCs w:val="24"/>
        </w:rPr>
      </w:pPr>
      <w:bookmarkStart w:id="5" w:name="bookmark=id.30j0zll_Copia_1"/>
      <w:bookmarkEnd w:id="5"/>
      <w:r>
        <w:rPr>
          <w:sz w:val="24"/>
          <w:szCs w:val="24"/>
        </w:rPr>
        <w:t>Informações Básicas</w:t>
      </w:r>
    </w:p>
    <w:p>
      <w:pPr>
        <w:pStyle w:val="normal1"/>
        <w:keepNext w:val="false"/>
        <w:keepLines w:val="false"/>
        <w:pageBreakBefore w:val="false"/>
        <w:widowControl/>
        <w:shd w:val="clear" w:fill="auto"/>
        <w:spacing w:lineRule="auto" w:line="276" w:before="235" w:after="0"/>
        <w:ind w:hanging="0" w:left="114"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Número do processo: </w:t>
      </w:r>
      <w:r>
        <w:rPr>
          <w:rFonts w:eastAsia="Times New Roman" w:cs="Times New Roman" w:ascii="Times New Roman" w:hAnsi="Times New Roman"/>
          <w:b w:val="false"/>
          <w:i w:val="false"/>
          <w:caps w:val="false"/>
          <w:smallCaps w:val="false"/>
          <w:strike w:val="false"/>
          <w:dstrike w:val="false"/>
          <w:color w:val="FF0000"/>
          <w:position w:val="0"/>
          <w:sz w:val="24"/>
          <w:sz w:val="24"/>
          <w:szCs w:val="24"/>
          <w:u w:val="none"/>
          <w:shd w:fill="auto" w:val="clear"/>
          <w:vertAlign w:val="baseline"/>
        </w:rPr>
        <w:t xml:space="preserve"> </w:t>
      </w:r>
      <w:r>
        <w:rPr>
          <w:rFonts w:eastAsia="Times New Roman" w:cs="Arial"/>
          <w:b w:val="false"/>
          <w:i w:val="false"/>
          <w:caps w:val="false"/>
          <w:smallCaps w:val="false"/>
          <w:strike w:val="false"/>
          <w:dstrike w:val="false"/>
          <w:color w:val="000000"/>
          <w:position w:val="0"/>
          <w:sz w:val="20"/>
          <w:sz w:val="20"/>
          <w:szCs w:val="20"/>
          <w:u w:val="none"/>
          <w:shd w:fill="auto" w:val="clear"/>
          <w:vertAlign w:val="baseline"/>
        </w:rPr>
        <w:t>64449.007341/2024-13</w:t>
      </w:r>
    </w:p>
    <w:p>
      <w:pPr>
        <w:pStyle w:val="normal1"/>
        <w:keepNext w:val="false"/>
        <w:keepLines w:val="false"/>
        <w:pageBreakBefore w:val="false"/>
        <w:widowControl/>
        <w:shd w:val="clear" w:fill="auto"/>
        <w:spacing w:lineRule="auto" w:line="276" w:before="235" w:after="0"/>
        <w:ind w:hanging="0" w:left="114"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6" w:name="bookmark=id.1fob9te"/>
      <w:bookmarkStart w:id="7" w:name="bookmark=id.1fob9te"/>
      <w:bookmarkEnd w:id="7"/>
    </w:p>
    <w:p>
      <w:pPr>
        <w:pStyle w:val="Heading1"/>
        <w:numPr>
          <w:ilvl w:val="0"/>
          <w:numId w:val="1"/>
        </w:numPr>
        <w:tabs>
          <w:tab w:val="clear" w:pos="720"/>
          <w:tab w:val="left" w:pos="384" w:leader="none"/>
        </w:tabs>
        <w:spacing w:lineRule="auto" w:line="276"/>
        <w:ind w:hanging="270" w:left="384"/>
        <w:rPr>
          <w:sz w:val="24"/>
          <w:szCs w:val="24"/>
        </w:rPr>
      </w:pPr>
      <w:bookmarkStart w:id="8" w:name="bookmark=id.1fob9te_Copia_1"/>
      <w:bookmarkEnd w:id="8"/>
      <w:r>
        <w:rPr>
          <w:sz w:val="24"/>
          <w:szCs w:val="24"/>
        </w:rPr>
        <w:t>Descrição da Necessidade</w:t>
      </w:r>
    </w:p>
    <w:p>
      <w:pPr>
        <w:pStyle w:val="normal1"/>
        <w:keepNext w:val="false"/>
        <w:keepLines w:val="false"/>
        <w:pageBreakBefore w:val="false"/>
        <w:widowControl/>
        <w:shd w:val="clear" w:fill="auto"/>
        <w:spacing w:lineRule="auto" w:line="276" w:before="4" w:after="0"/>
        <w:ind w:hanging="0" w:left="0"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40" w:before="0" w:after="240"/>
        <w:ind w:hanging="0" w:left="55" w:right="46"/>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O Depósito Central de Munição é considerado o maior depósito de munições da América Latina, comportando boa parte das munições em domínio do Exército Brasileiro em suas 78 unidades de empaiolamento. Essa Organização Militar (OM), por meio do laboratório químico, realiza análise de estabilidade química dos propelentes para avaliar a possibilidade de revalidação ou não de munições, conforme manual T9-1903 e Normas do Exército Brasileiro (NEB). Quando o resultado do exame químico apresenta que a munição foi reprovada, ela é considerada imprópria para emprego e armazenagem no paiol, sendo assim, remetida para destruição. </w:t>
      </w:r>
    </w:p>
    <w:p>
      <w:pPr>
        <w:pStyle w:val="normal1"/>
        <w:keepNext w:val="false"/>
        <w:keepLines w:val="false"/>
        <w:pageBreakBefore w:val="false"/>
        <w:widowControl/>
        <w:shd w:val="clear" w:fill="auto"/>
        <w:spacing w:lineRule="auto" w:line="240" w:before="0" w:after="240"/>
        <w:ind w:hanging="0" w:left="55" w:right="46"/>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A atividade de destruição da munição é realizada conforme tipo e urgência da destruição, por exemplo: caso a munição ofereça risco iminente de autoignição, ela deverá ser imediatamente destruída na área de destruição existente no quartel. </w:t>
      </w:r>
    </w:p>
    <w:p>
      <w:pPr>
        <w:pStyle w:val="normal1"/>
        <w:keepNext w:val="false"/>
        <w:keepLines w:val="false"/>
        <w:pageBreakBefore w:val="false"/>
        <w:widowControl/>
        <w:shd w:val="clear" w:fill="auto"/>
        <w:spacing w:lineRule="auto" w:line="240" w:before="0" w:after="240"/>
        <w:ind w:hanging="0" w:left="55" w:right="46"/>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 área de destruição é um local afastado da área administrativa do quartel onde é realizada a destruição para casos excepcionais, conforme exposto anteriormente. No dia 17 de março de 2022, este Depósito recebeu a determinação de cumprimento da Sentença prolatada na Ação Civil Pública nº 5064206-02.2019.4.02.5101/RJ, ajuizada pelo Ministério Público Federal. A Sentença possui duas determinações, sendo uma delas a submissão desta Organização militar ao licenciamento ambiental da atividade de descarte de munição e explosivos perante o Instituto Brasileiro do Meio Ambiente e dos Recursos Naturais Renováveis.</w:t>
      </w:r>
    </w:p>
    <w:p>
      <w:pPr>
        <w:pStyle w:val="normal1"/>
        <w:keepNext w:val="false"/>
        <w:keepLines w:val="false"/>
        <w:pageBreakBefore w:val="false"/>
        <w:widowControl/>
        <w:shd w:val="clear" w:fill="auto"/>
        <w:spacing w:lineRule="auto" w:line="240" w:before="0" w:after="0"/>
        <w:ind w:hanging="0" w:left="55" w:right="46"/>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Com o objetivo de cumprir as determinações da Sentença prolatada, em face da atividade de descarte de munições e explosivos, este Depósito deverá realizar o licenciamento ambiental da atividade de descarte de munições e explosivos do Depósito Central de Munição perante o Instituto Brasileiro do Meio Ambiente e dos Recursos Naturais Renováveis, conforme determinado na Sentença mencionada, com fins para obtenção da Licença de Operação.</w:t>
      </w:r>
    </w:p>
    <w:p>
      <w:pPr>
        <w:pStyle w:val="normal1"/>
        <w:keepNext w:val="false"/>
        <w:keepLines w:val="false"/>
        <w:pageBreakBefore w:val="false"/>
        <w:widowControl/>
        <w:shd w:val="clear" w:fill="auto"/>
        <w:spacing w:lineRule="auto" w:line="276" w:before="1" w:after="0"/>
        <w:ind w:hanging="0" w:left="114"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76" w:before="1" w:after="0"/>
        <w:ind w:hanging="0" w:left="284"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76" w:before="1" w:after="0"/>
        <w:ind w:hanging="142" w:left="284"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 Identificação do serviço</w:t>
      </w:r>
    </w:p>
    <w:p>
      <w:pPr>
        <w:pStyle w:val="normal1"/>
        <w:keepNext w:val="false"/>
        <w:keepLines w:val="false"/>
        <w:pageBreakBefore w:val="false"/>
        <w:widowControl/>
        <w:shd w:val="clear" w:fill="auto"/>
        <w:spacing w:lineRule="auto" w:line="276" w:before="1" w:after="0"/>
        <w:ind w:hanging="0" w:left="142"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76" w:before="1" w:after="0"/>
        <w:ind w:hanging="0" w:left="142"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Será realizado o estudo ambiental do tipo Relatório de Controle Ambiental e Plano de Controle Ambiental (RCA/PCA), conforme Termo de Referência desse processo. </w:t>
      </w:r>
    </w:p>
    <w:p>
      <w:pPr>
        <w:pStyle w:val="normal1"/>
        <w:keepNext w:val="false"/>
        <w:keepLines w:val="false"/>
        <w:pageBreakBefore w:val="false"/>
        <w:widowControl/>
        <w:shd w:val="clear" w:fill="auto"/>
        <w:spacing w:lineRule="auto" w:line="276" w:before="1" w:after="0"/>
        <w:ind w:hanging="142" w:left="284"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76" w:before="1" w:after="0"/>
        <w:ind w:hanging="0" w:left="567" w:right="-13"/>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2.1.1) O RCA/PCA deverá ser elaborado por uma equipe técnica multidisciplinar, cujos membros devem estar comprovadamente incluídos no Cadastro Técnico Federal (CTF) do IBAMA e em situação regular. O empreendedor poderá contar com o auxílio de uma empresa consultora para a elaboração do RCA/PCA.</w:t>
      </w:r>
    </w:p>
    <w:p>
      <w:pPr>
        <w:pStyle w:val="normal1"/>
        <w:keepNext w:val="false"/>
        <w:keepLines w:val="false"/>
        <w:pageBreakBefore w:val="false"/>
        <w:widowControl/>
        <w:shd w:val="clear" w:fill="auto"/>
        <w:spacing w:lineRule="auto" w:line="276" w:before="1" w:after="0"/>
        <w:ind w:hanging="0" w:left="567" w:right="-13"/>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2.1.2) A equipe técnica multidisciplinar, a empresa consultora e o empreendedor são responsáveis pelas informações apresentadas e sujeitam-se às sanções administrativas, civis e penais, conforme Art. 69-A da Lei nº 9.605/98 e do Art. 82 do Decreto nº 6.514/08 e alterações, que estabelecem sanções para aqueles que elaborarem ou apresentarem no licenciamento ambiental estudo, laudo ou relatório ambiental total ou parcialmente falso ou enganoso, inclusive por omissão</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2.1.3) Todas as ilustrações, mapas, cartas, plantas e fotografias deverão estar perfeitamente legíveis, com as fotografias abrangendo e identificando todos os pontos de instalação das estruturas</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2.1.4) Sempre que cabível, as informações deverão ser expressas em forma gráfica (mapas, figuras, imagens) devidamente identificadas, com o objetivo de facilitar a interpretação dos dados</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2.1.5) A formatação do estudo deverá estar em acordo com as normas da Associação Brasileira de Normas Técnicas (ABNT) para redação de trabalhos acadêmicos</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2.1.6) Ao Estudo Ambiental deverá ser dada publicidade. Assim sendo, durante o período de análise do estudo, o IBAMA poderá promover a realização de consultas públicas, a critério da autarquia.</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2.1.7) Para a elaboração do material cartográfico, deverá ser observado o Decreto Lei nº 243/1967 e os Decretos nº 89.817/1984 e nº 6.666/2008, além das normas e resoluções da Comissão Nacional de Cartografia (Concar)</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2.1.8) Os dados geográficos utilizados deverão estar georreferenciados e padronizados com o Sistema de Referência Geocêntrico para as Américas – Sirgas 2000, e o sistema de projeção cartográfica deverá ser o UTM – Universal Transverse Mercator;</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2.1.9) O material cartográfico deverá ser elaborado buscando facilitar ao máximo a visualização das informações, com legendas legíveis, fontes consultadas e o respectivo ano de geração dos dados utilizados;</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2.1.10) Todos os dados geográficos deverão ser entregues como anexo do RCA/PCA, em formato de arquivo digital compatível com softwares livres de Sistema de Informações Geográficas – SIG (ex.: shapefile, kml) e em formato TIFF (para o caso de imagens orbitais, processamentos e fotos aéreas)</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2.1.11) O RCA/PCA deverá ser apresentado em meio digital, no formato pdf, com Reconhecimento Óptico de Caracteres – OCR, assinado digitalmente. O estudo deverá ser consolidado em apenas um arquivo digital com no máximo 80 MB. Em caso da impossibilidade de manter o arquivo único, deve-se dividir o estritamente necessário. Planilhas, arquivos vetoriais, imagens de satélite, aerofotografias de alta resolução e demais arquivos geoespaciais devem ser enviados em formato zip, também com no máximo 80 MB;</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2.1.12) O estudo deverá conter índice e seguir a mesma ordem de apresentação do Termo de Referência;</w:t>
      </w:r>
    </w:p>
    <w:p>
      <w:pPr>
        <w:pStyle w:val="normal1"/>
        <w:keepNext w:val="false"/>
        <w:keepLines w:val="false"/>
        <w:pageBreakBefore w:val="false"/>
        <w:widowControl/>
        <w:shd w:val="clear" w:fill="auto"/>
        <w:spacing w:lineRule="auto" w:line="276" w:before="1" w:after="0"/>
        <w:ind w:hanging="0" w:left="567"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2.1.13) Caso haja algum tipo de impedimento, limitação ou discordância para o atendimento de qualquer dos itens propostos, sua omissão ou influência no referido Estudo Ambiental deverá ser justificada com argumentação objetiva e fundamentada.</w:t>
      </w:r>
    </w:p>
    <w:p>
      <w:pPr>
        <w:pStyle w:val="normal1"/>
        <w:keepNext w:val="false"/>
        <w:keepLines w:val="false"/>
        <w:pageBreakBefore w:val="false"/>
        <w:widowControl/>
        <w:shd w:val="clear" w:fill="auto"/>
        <w:spacing w:lineRule="auto" w:line="276" w:before="1" w:after="0"/>
        <w:ind w:hanging="0" w:left="1134" w:right="111"/>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9" w:name="bookmark=id.3znysh7"/>
      <w:bookmarkStart w:id="10" w:name="bookmark=id.3znysh7"/>
      <w:bookmarkEnd w:id="10"/>
    </w:p>
    <w:p>
      <w:pPr>
        <w:pStyle w:val="Heading1"/>
        <w:numPr>
          <w:ilvl w:val="0"/>
          <w:numId w:val="1"/>
        </w:numPr>
        <w:tabs>
          <w:tab w:val="clear" w:pos="720"/>
          <w:tab w:val="left" w:pos="384" w:leader="none"/>
        </w:tabs>
        <w:spacing w:lineRule="auto" w:line="276"/>
        <w:ind w:hanging="270" w:left="384"/>
        <w:rPr>
          <w:sz w:val="24"/>
          <w:szCs w:val="24"/>
        </w:rPr>
      </w:pPr>
      <w:bookmarkStart w:id="11" w:name="bookmark=id.3znysh7_Copia_1"/>
      <w:bookmarkEnd w:id="11"/>
      <w:r>
        <w:rPr>
          <w:sz w:val="24"/>
          <w:szCs w:val="24"/>
        </w:rPr>
        <w:t>Área Requisitante</w:t>
      </w:r>
    </w:p>
    <w:p>
      <w:pPr>
        <w:pStyle w:val="normal1"/>
        <w:keepNext w:val="false"/>
        <w:keepLines w:val="false"/>
        <w:pageBreakBefore w:val="false"/>
        <w:widowControl/>
        <w:shd w:val="clear" w:fill="auto"/>
        <w:spacing w:lineRule="auto" w:line="276" w:before="3" w:after="0"/>
        <w:ind w:hanging="0" w:left="0"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76" w:before="0" w:after="0"/>
        <w:ind w:hanging="0" w:left="144"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mc:AlternateContent>
          <mc:Choice Requires="wps">
            <w:drawing>
              <wp:inline distT="0" distB="0" distL="0" distR="0">
                <wp:extent cx="5944235" cy="184150"/>
                <wp:effectExtent l="0" t="0" r="0" b="0"/>
                <wp:docPr id="1" name="Shape 2"/>
                <a:graphic xmlns:a="http://schemas.openxmlformats.org/drawingml/2006/main">
                  <a:graphicData uri="http://schemas.microsoft.com/office/word/2010/wordprocessingShape">
                    <wps:wsp>
                      <wps:cNvSpPr/>
                      <wps:spPr>
                        <a:xfrm>
                          <a:off x="0" y="0"/>
                          <a:ext cx="5944320" cy="184320"/>
                        </a:xfrm>
                        <a:prstGeom prst="rect">
                          <a:avLst/>
                        </a:prstGeom>
                        <a:solidFill>
                          <a:srgbClr val="cccccc"/>
                        </a:solidFill>
                        <a:ln w="0">
                          <a:noFill/>
                        </a:ln>
                      </wps:spPr>
                      <wps:style>
                        <a:lnRef idx="0"/>
                        <a:fillRef idx="0"/>
                        <a:effectRef idx="0"/>
                        <a:fontRef idx="minor"/>
                      </wps:style>
                      <wps:txbx>
                        <w:txbxContent>
                          <w:p>
                            <w:pPr>
                              <w:pStyle w:val="Contedodoquadro"/>
                              <w:spacing w:lineRule="exact" w:line="240" w:before="28" w:after="0"/>
                              <w:ind w:hanging="0" w:left="0" w:right="220"/>
                              <w:jc w:val="center"/>
                              <w:rPr/>
                            </w:pPr>
                            <w:r>
                              <w:rPr>
                                <w:rFonts w:eastAsia="Times New Roman" w:cs="Times New Roman" w:ascii="Times New Roman" w:hAnsi="Times New Roman"/>
                                <w:b/>
                                <w:i w:val="false"/>
                                <w:caps w:val="false"/>
                                <w:smallCaps w:val="false"/>
                                <w:strike w:val="false"/>
                                <w:dstrike w:val="false"/>
                                <w:color w:val="000000"/>
                                <w:position w:val="0"/>
                                <w:sz w:val="20"/>
                                <w:sz w:val="20"/>
                                <w:vertAlign w:val="baseline"/>
                              </w:rPr>
                              <w:t>Área Requisitante</w:t>
                              <w:tab/>
                              <w:t>Responsável</w:t>
                            </w:r>
                          </w:p>
                        </w:txbxContent>
                      </wps:txbx>
                      <wps:bodyPr lIns="0" rIns="0" tIns="0" bIns="0" anchor="t">
                        <a:noAutofit/>
                      </wps:bodyPr>
                    </wps:wsp>
                  </a:graphicData>
                </a:graphic>
              </wp:inline>
            </w:drawing>
          </mc:Choice>
          <mc:Fallback>
            <w:pict>
              <v:rect id="shape_0" ID="Shape 2" path="m0,0l-2147483645,0l-2147483645,-2147483646l0,-2147483646xe" fillcolor="#cccccc" stroked="f" o:allowincell="f" style="position:absolute;margin-left:0pt;margin-top:-14.55pt;width:468pt;height:14.45pt;mso-wrap-style:square;v-text-anchor:top;mso-position-vertical:top">
                <v:fill o:detectmouseclick="t" type="solid" color2="#333333"/>
                <v:stroke color="#3465a4" joinstyle="round" endcap="flat"/>
                <v:textbox>
                  <w:txbxContent>
                    <w:p>
                      <w:pPr>
                        <w:pStyle w:val="Contedodoquadro"/>
                        <w:spacing w:lineRule="exact" w:line="240" w:before="28" w:after="0"/>
                        <w:ind w:hanging="0" w:left="0" w:right="220"/>
                        <w:jc w:val="center"/>
                        <w:rPr/>
                      </w:pPr>
                      <w:r>
                        <w:rPr>
                          <w:rFonts w:eastAsia="Times New Roman" w:cs="Times New Roman" w:ascii="Times New Roman" w:hAnsi="Times New Roman"/>
                          <w:b/>
                          <w:i w:val="false"/>
                          <w:caps w:val="false"/>
                          <w:smallCaps w:val="false"/>
                          <w:strike w:val="false"/>
                          <w:dstrike w:val="false"/>
                          <w:color w:val="000000"/>
                          <w:position w:val="0"/>
                          <w:sz w:val="20"/>
                          <w:sz w:val="20"/>
                          <w:vertAlign w:val="baseline"/>
                        </w:rPr>
                        <w:t>Área Requisitante</w:t>
                        <w:tab/>
                        <w:t>Responsável</w:t>
                      </w:r>
                    </w:p>
                  </w:txbxContent>
                </v:textbox>
                <w10:wrap type="square"/>
              </v:rect>
            </w:pict>
          </mc:Fallback>
        </mc:AlternateContent>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40" w:right="1140" w:gutter="0" w:header="469" w:top="1060" w:footer="467" w:bottom="660"/>
          <w:pgNumType w:start="1" w:fmt="decimal"/>
          <w:formProt w:val="false"/>
          <w:textDirection w:val="lrTb"/>
          <w:docGrid w:type="default" w:linePitch="100" w:charSpace="0"/>
        </w:sectPr>
      </w:pPr>
    </w:p>
    <w:p>
      <w:pPr>
        <w:pStyle w:val="normal1"/>
        <w:keepNext w:val="false"/>
        <w:keepLines w:val="false"/>
        <w:pageBreakBefore w:val="false"/>
        <w:widowControl/>
        <w:shd w:val="clear" w:fill="auto"/>
        <w:spacing w:lineRule="auto" w:line="276" w:before="35" w:after="0"/>
        <w:ind w:hanging="0" w:left="159" w:right="16"/>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Meio Ambiente do Depósito Central de Munição                                 </w:t>
      </w:r>
    </w:p>
    <w:p>
      <w:pPr>
        <w:pStyle w:val="normal1"/>
        <w:keepNext w:val="false"/>
        <w:keepLines w:val="false"/>
        <w:pageBreakBefore w:val="false"/>
        <w:widowControl/>
        <w:shd w:val="clear" w:fill="auto"/>
        <w:spacing w:lineRule="auto" w:line="276" w:before="0" w:after="0"/>
        <w:ind w:hanging="0" w:left="158"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bookmarkStart w:id="12" w:name="_heading=h.2et92p0"/>
      <w:bookmarkEnd w:id="12"/>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sz w:val="24"/>
          <w:szCs w:val="24"/>
        </w:rPr>
        <w:t>Cap</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sz w:val="24"/>
          <w:szCs w:val="24"/>
        </w:rPr>
        <w:t>Ronaldo Eidy Irie</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bookmarkStart w:id="13" w:name="bookmark=id.tyjcwt"/>
    </w:p>
    <w:p>
      <w:pPr>
        <w:sectPr>
          <w:type w:val="continuous"/>
          <w:pgSz w:w="11906" w:h="16838"/>
          <w:pgMar w:left="1140" w:right="1140" w:gutter="0" w:header="469" w:top="1060" w:footer="467" w:bottom="660"/>
          <w:cols w:num="2" w:space="520" w:equalWidth="true" w:sep="false"/>
          <w:formProt w:val="false"/>
          <w:textDirection w:val="lrTb"/>
          <w:docGrid w:type="default" w:linePitch="100" w:charSpace="0"/>
        </w:sectPr>
      </w:pPr>
    </w:p>
    <w:p>
      <w:pPr>
        <w:pStyle w:val="Heading1"/>
        <w:numPr>
          <w:ilvl w:val="0"/>
          <w:numId w:val="1"/>
        </w:numPr>
        <w:tabs>
          <w:tab w:val="clear" w:pos="720"/>
          <w:tab w:val="left" w:pos="384" w:leader="none"/>
        </w:tabs>
        <w:spacing w:lineRule="auto" w:line="276" w:before="262" w:after="0"/>
        <w:ind w:hanging="270" w:left="384"/>
        <w:rPr>
          <w:sz w:val="24"/>
          <w:szCs w:val="24"/>
        </w:rPr>
      </w:pPr>
      <w:bookmarkEnd w:id="13"/>
      <w:r>
        <w:rPr>
          <w:sz w:val="24"/>
          <w:szCs w:val="24"/>
        </w:rPr>
        <w:t>Descrição dos Requisitos da Contratação</w:t>
      </w:r>
    </w:p>
    <w:p>
      <w:pPr>
        <w:pStyle w:val="normal1"/>
        <w:keepNext w:val="false"/>
        <w:keepLines w:val="false"/>
        <w:pageBreakBefore w:val="false"/>
        <w:widowControl/>
        <w:shd w:val="clear" w:fill="auto"/>
        <w:tabs>
          <w:tab w:val="clear" w:pos="720"/>
          <w:tab w:val="left" w:pos="846" w:leader="none"/>
        </w:tabs>
        <w:spacing w:lineRule="auto" w:line="276" w:before="233" w:after="0"/>
        <w:ind w:hanging="141" w:left="283"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4.1. São requisitos necessários ao atendimento da necessidade:</w:t>
      </w:r>
    </w:p>
    <w:p>
      <w:pPr>
        <w:pStyle w:val="normal1"/>
        <w:keepNext w:val="false"/>
        <w:keepLines w:val="false"/>
        <w:pageBreakBefore w:val="false"/>
        <w:widowControl/>
        <w:shd w:val="clear" w:fill="auto"/>
        <w:spacing w:lineRule="auto" w:line="276" w:before="8"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4.1.1. Os serviços a serem realizados, de um modo geral, só serão aceitos se tiverem sido confeccionados de acordo com as especificações, além de demonstrar perfeito funcionamento, garantia, prazo de validade e qualidade;</w:t>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4.1.2. As despesas para a prestação de cada serviço contratado no endereço do contratante deverão estar incluídas no preço proposto;</w:t>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4.1.3. Tendo em vista a especificidade da aplicação, o proponente deverá comprovar experiência anterior com este tipo de serviço, apresentando pelo menos um atestado técnico de outro órgão público ou empresa que efetuem análises semelhantes;</w:t>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4.1.4. Para comprovação do item anterior pelo setor técnico da contratante, o proponente deverá anexar, quando solicitado, cópia da nota fiscal comprovando a execução do referido serviço; </w:t>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tabs>
          <w:tab w:val="clear" w:pos="720"/>
          <w:tab w:val="left" w:pos="567" w:leader="none"/>
        </w:tabs>
        <w:spacing w:lineRule="auto" w:line="276" w:before="0" w:after="0"/>
        <w:ind w:hanging="0" w:left="567"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4.1.5. Opta-se por realizar a presente licitação valendo-se da modalidade Pregão eletrônico;</w:t>
      </w:r>
    </w:p>
    <w:p>
      <w:pPr>
        <w:pStyle w:val="normal1"/>
        <w:keepNext w:val="false"/>
        <w:keepLines w:val="false"/>
        <w:pageBreakBefore w:val="false"/>
        <w:widowControl w:val="false"/>
        <w:shd w:val="clear" w:fill="auto"/>
        <w:tabs>
          <w:tab w:val="clear" w:pos="720"/>
          <w:tab w:val="left" w:pos="567" w:leader="none"/>
        </w:tabs>
        <w:spacing w:lineRule="auto" w:line="276" w:before="0" w:after="0"/>
        <w:ind w:hanging="0" w:left="567" w:right="112"/>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p>
      <w:pPr>
        <w:pStyle w:val="normal1"/>
        <w:keepNext w:val="false"/>
        <w:keepLines w:val="false"/>
        <w:pageBreakBefore w:val="false"/>
        <w:widowControl w:val="false"/>
        <w:shd w:val="clear" w:fill="auto"/>
        <w:tabs>
          <w:tab w:val="clear" w:pos="720"/>
          <w:tab w:val="left" w:pos="567" w:leader="none"/>
        </w:tabs>
        <w:spacing w:lineRule="auto" w:line="276" w:before="0" w:after="0"/>
        <w:ind w:hanging="0" w:left="567" w:right="-13"/>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4.1.6. A contratação deverá prever, no que couber, práticas de sustentabilidade nos termos da Instrução Normativa SLTI/MP nº 01, de 19 de janeiro de 2010, do Guia Nacional de Licitações Sustentáveis.</w:t>
      </w:r>
      <w:bookmarkStart w:id="14" w:name="bookmark=id.1t3h5sf"/>
      <w:bookmarkStart w:id="15" w:name="bookmark=id.3dy6vkm"/>
    </w:p>
    <w:p>
      <w:pPr>
        <w:sectPr>
          <w:type w:val="continuous"/>
          <w:pgSz w:w="11906" w:h="16838"/>
          <w:pgMar w:left="1140" w:right="1140" w:gutter="0" w:header="469" w:top="1060" w:footer="467" w:bottom="660"/>
          <w:formProt w:val="false"/>
          <w:textDirection w:val="lrTb"/>
          <w:docGrid w:type="default" w:linePitch="100" w:charSpace="0"/>
        </w:sectPr>
      </w:pPr>
    </w:p>
    <w:p>
      <w:pPr>
        <w:pStyle w:val="Heading1"/>
        <w:numPr>
          <w:ilvl w:val="0"/>
          <w:numId w:val="1"/>
        </w:numPr>
        <w:tabs>
          <w:tab w:val="clear" w:pos="720"/>
          <w:tab w:val="left" w:pos="384" w:leader="none"/>
        </w:tabs>
        <w:spacing w:lineRule="auto" w:line="276"/>
        <w:ind w:hanging="270" w:left="384"/>
        <w:rPr>
          <w:sz w:val="24"/>
          <w:szCs w:val="24"/>
        </w:rPr>
      </w:pPr>
      <w:bookmarkEnd w:id="14"/>
      <w:bookmarkEnd w:id="15"/>
      <w:r>
        <w:rPr>
          <w:sz w:val="24"/>
          <w:szCs w:val="24"/>
        </w:rPr>
        <w:t>Levantamento de Mercado</w:t>
      </w:r>
    </w:p>
    <w:p>
      <w:pPr>
        <w:pStyle w:val="normal1"/>
        <w:keepNext w:val="false"/>
        <w:keepLines w:val="false"/>
        <w:pageBreakBefore w:val="false"/>
        <w:widowControl/>
        <w:numPr>
          <w:ilvl w:val="1"/>
          <w:numId w:val="1"/>
        </w:numPr>
        <w:shd w:val="clear" w:fill="auto"/>
        <w:tabs>
          <w:tab w:val="clear" w:pos="720"/>
          <w:tab w:val="left" w:pos="686" w:leader="none"/>
        </w:tabs>
        <w:spacing w:lineRule="auto" w:line="276" w:before="234" w:after="0"/>
        <w:ind w:hanging="0" w:left="142"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 fim de encontrar a melhor solução para atender à necessidade da Administração, foi realizada pesquisa de preços, conforme documentos anexos (proposta de preços). Informe-se que a pesquisa de preços foi realizada observando-se o disposto na IN 05/2017, bem como na IN SEGES /ME Nº 65, DE 7 DE JULHO DE 2021. Em anexo, há demonstração de que essa pesquisa de preços e cotação junto à prestadoras de serviços do ramo, em pleno atendimento ao art. 23 da Lei 14.133/2021.</w:t>
      </w:r>
    </w:p>
    <w:p>
      <w:pPr>
        <w:pStyle w:val="normal1"/>
        <w:keepNext w:val="false"/>
        <w:keepLines w:val="false"/>
        <w:pageBreakBefore w:val="false"/>
        <w:widowControl/>
        <w:numPr>
          <w:ilvl w:val="1"/>
          <w:numId w:val="1"/>
        </w:numPr>
        <w:shd w:val="clear" w:fill="auto"/>
        <w:tabs>
          <w:tab w:val="clear" w:pos="720"/>
          <w:tab w:val="left" w:pos="686" w:leader="none"/>
        </w:tabs>
        <w:spacing w:lineRule="auto" w:line="276" w:before="234" w:after="0"/>
        <w:ind w:hanging="0" w:left="142"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Considerando o cenário brasileiro no que tange às empresas fornecedoras de mão de obra terceirizada, tem-se que há total domínio do mercado sobre o objeto a ser contratado, vez que existem inúmeras empresas, em nível nacional, regional e estadual, disponíveis, a qualquer tempo, para atendimento desse tipo de demanda.</w:t>
      </w:r>
    </w:p>
    <w:p>
      <w:pPr>
        <w:pStyle w:val="normal1"/>
        <w:keepNext w:val="false"/>
        <w:keepLines w:val="false"/>
        <w:pageBreakBefore w:val="false"/>
        <w:widowControl/>
        <w:numPr>
          <w:ilvl w:val="1"/>
          <w:numId w:val="1"/>
        </w:numPr>
        <w:shd w:val="clear" w:fill="auto"/>
        <w:tabs>
          <w:tab w:val="clear" w:pos="720"/>
          <w:tab w:val="left" w:pos="686" w:leader="none"/>
        </w:tabs>
        <w:spacing w:lineRule="auto" w:line="276" w:before="234" w:after="0"/>
        <w:ind w:hanging="0" w:left="142"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À vista disso, após avaliação do objeto, análise dos requisitos da contratação e levantamento de mercado, restou demonstrado que a escolha do tipo de solução a contratar é viável, satisfaz os requisitos definidos e atende aos aspectos de economicidade, eficácia e eficiência, sendo, portanto, uma solução adequada para propiciar o atingimento dos objetivos estabelecidos. Em observância a IN 73, de 5 de agosto de 2020, foram seguidas todas as orientações descritas no Art. 5º, priorizando o Inciso IV como procedimento padrão.</w:t>
      </w:r>
    </w:p>
    <w:p>
      <w:pPr>
        <w:pStyle w:val="normal1"/>
        <w:keepNext w:val="false"/>
        <w:keepLines w:val="false"/>
        <w:pageBreakBefore w:val="false"/>
        <w:widowControl/>
        <w:shd w:val="clear" w:fill="auto"/>
        <w:tabs>
          <w:tab w:val="clear" w:pos="720"/>
          <w:tab w:val="left" w:pos="686" w:leader="none"/>
        </w:tabs>
        <w:spacing w:lineRule="auto" w:line="276" w:before="234" w:after="0"/>
        <w:ind w:hanging="0" w:left="142"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Heading1"/>
        <w:numPr>
          <w:ilvl w:val="0"/>
          <w:numId w:val="1"/>
        </w:numPr>
        <w:tabs>
          <w:tab w:val="clear" w:pos="720"/>
          <w:tab w:val="left" w:pos="384" w:leader="none"/>
        </w:tabs>
        <w:spacing w:lineRule="auto" w:line="276" w:before="161" w:after="0"/>
        <w:ind w:hanging="270" w:left="384"/>
        <w:rPr>
          <w:sz w:val="24"/>
          <w:szCs w:val="24"/>
        </w:rPr>
      </w:pPr>
      <w:r>
        <w:rPr>
          <w:sz w:val="24"/>
          <w:szCs w:val="24"/>
        </w:rPr>
        <w:t>Descrição da solução como um todo</w:t>
      </w:r>
    </w:p>
    <w:p>
      <w:pPr>
        <w:pStyle w:val="normal1"/>
        <w:keepNext w:val="false"/>
        <w:keepLines w:val="false"/>
        <w:pageBreakBefore w:val="false"/>
        <w:widowControl/>
        <w:numPr>
          <w:ilvl w:val="1"/>
          <w:numId w:val="1"/>
        </w:numPr>
        <w:shd w:val="clear" w:fill="auto"/>
        <w:tabs>
          <w:tab w:val="clear" w:pos="720"/>
          <w:tab w:val="left" w:pos="685" w:leader="none"/>
        </w:tabs>
        <w:spacing w:lineRule="auto" w:line="276" w:before="234" w:after="0"/>
        <w:ind w:hanging="0" w:left="142"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O serviço a ser contratado por meio deste processo foi detalhado no tópico nº 2 deste documento e no Termo de Referência.</w:t>
      </w:r>
    </w:p>
    <w:p>
      <w:pPr>
        <w:pStyle w:val="normal1"/>
        <w:keepNext w:val="false"/>
        <w:keepLines w:val="false"/>
        <w:pageBreakBefore w:val="false"/>
        <w:widowControl/>
        <w:numPr>
          <w:ilvl w:val="1"/>
          <w:numId w:val="1"/>
        </w:numPr>
        <w:shd w:val="clear" w:fill="auto"/>
        <w:tabs>
          <w:tab w:val="clear" w:pos="720"/>
          <w:tab w:val="left" w:pos="685" w:leader="none"/>
        </w:tabs>
        <w:spacing w:lineRule="auto" w:line="276" w:before="235" w:after="0"/>
        <w:ind w:hanging="0" w:left="142" w:right="112"/>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Este Depósito, baseado no Levantamento de Mercado e pelo fato que os recursos são do Departamento de Engenharia e Construção (DEC), descentralizado pela Diretoria de Patrimônio Imobiliário e Meio Ambiente (DPIMA), concluiu que a melhor solução para o atendimento da necessidade desta Organização Militar é a contratação do serviço por meio do Pregão Sistema Registro de Preços (Pregão SRP), proporcionando maior economicidade para esta administração. </w:t>
      </w:r>
    </w:p>
    <w:p>
      <w:pPr>
        <w:pStyle w:val="normal1"/>
        <w:keepNext w:val="false"/>
        <w:keepLines w:val="false"/>
        <w:pageBreakBefore w:val="false"/>
        <w:widowControl/>
        <w:shd w:val="clear" w:fill="auto"/>
        <w:tabs>
          <w:tab w:val="clear" w:pos="720"/>
          <w:tab w:val="left" w:pos="685" w:leader="none"/>
        </w:tabs>
        <w:spacing w:lineRule="auto" w:line="276" w:before="6" w:after="0"/>
        <w:ind w:hanging="0" w:left="142"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numPr>
          <w:ilvl w:val="1"/>
          <w:numId w:val="1"/>
        </w:numPr>
        <w:shd w:val="clear" w:fill="auto"/>
        <w:tabs>
          <w:tab w:val="clear" w:pos="720"/>
          <w:tab w:val="left" w:pos="642" w:leader="none"/>
          <w:tab w:val="left" w:pos="685" w:leader="none"/>
        </w:tabs>
        <w:spacing w:lineRule="auto" w:line="276" w:before="0" w:after="0"/>
        <w:ind w:hanging="0" w:left="142"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O prazo para execução do primeiro serviço é de até 90 (noventa) dias, contados a partir do recebimento da Nota de Empenho por parte da empresa, em remessa única, conforme endereço de destino previsto no processo.</w:t>
      </w:r>
    </w:p>
    <w:p>
      <w:pPr>
        <w:pStyle w:val="normal1"/>
        <w:keepNext w:val="false"/>
        <w:keepLines w:val="false"/>
        <w:pageBreakBefore w:val="false"/>
        <w:widowControl/>
        <w:shd w:val="clear" w:fill="auto"/>
        <w:tabs>
          <w:tab w:val="clear" w:pos="720"/>
          <w:tab w:val="left" w:pos="685" w:leader="none"/>
        </w:tabs>
        <w:spacing w:lineRule="auto" w:line="276" w:before="2" w:after="0"/>
        <w:ind w:hanging="0" w:left="142"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highlight w:val="yellow"/>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yellow"/>
          <w:u w:val="none"/>
          <w:vertAlign w:val="baseline"/>
        </w:rPr>
      </w:r>
      <w:bookmarkStart w:id="16" w:name="bookmark=id.4d34og8"/>
      <w:bookmarkStart w:id="17" w:name="bookmark=id.4d34og8"/>
      <w:bookmarkEnd w:id="17"/>
    </w:p>
    <w:p>
      <w:pPr>
        <w:pStyle w:val="Heading1"/>
        <w:numPr>
          <w:ilvl w:val="0"/>
          <w:numId w:val="1"/>
        </w:numPr>
        <w:tabs>
          <w:tab w:val="clear" w:pos="720"/>
          <w:tab w:val="left" w:pos="384" w:leader="none"/>
        </w:tabs>
        <w:spacing w:lineRule="auto" w:line="276" w:before="78" w:after="0"/>
        <w:ind w:hanging="270" w:left="384"/>
        <w:rPr>
          <w:sz w:val="24"/>
          <w:szCs w:val="24"/>
        </w:rPr>
      </w:pPr>
      <w:bookmarkStart w:id="18" w:name="bookmark=id.4d34og8_Copia_1"/>
      <w:bookmarkEnd w:id="18"/>
      <w:r>
        <w:rPr>
          <w:sz w:val="24"/>
          <w:szCs w:val="24"/>
        </w:rPr>
        <w:t>Estimativa das Quantidades a serem Contratadas</w:t>
      </w:r>
    </w:p>
    <w:p>
      <w:pPr>
        <w:pStyle w:val="normal1"/>
        <w:keepNext w:val="false"/>
        <w:keepLines w:val="false"/>
        <w:pageBreakBefore w:val="false"/>
        <w:widowControl/>
        <w:shd w:val="clear" w:fill="auto"/>
        <w:spacing w:lineRule="auto" w:line="276" w:before="6" w:after="0"/>
        <w:ind w:hanging="0" w:left="284"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numPr>
          <w:ilvl w:val="1"/>
          <w:numId w:val="1"/>
        </w:numPr>
        <w:shd w:val="clear" w:fill="auto"/>
        <w:tabs>
          <w:tab w:val="clear" w:pos="720"/>
          <w:tab w:val="left" w:pos="709" w:leader="none"/>
        </w:tabs>
        <w:spacing w:lineRule="auto" w:line="276" w:before="6" w:after="0"/>
        <w:ind w:hanging="0" w:left="142"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No que concerne à quantidade a ser contratada, solicitamos um serviço com mão de obra especializada para a realização do estudo ambiental englobando todas as atividades necessárias a execução do objeto.</w:t>
      </w:r>
      <w:bookmarkStart w:id="19" w:name="bookmark=id.2s8eyo1"/>
    </w:p>
    <w:p>
      <w:pPr>
        <w:pStyle w:val="normal1"/>
        <w:keepNext w:val="false"/>
        <w:keepLines w:val="false"/>
        <w:pageBreakBefore w:val="false"/>
        <w:widowControl/>
        <w:shd w:val="clear" w:fill="auto"/>
        <w:tabs>
          <w:tab w:val="clear" w:pos="720"/>
          <w:tab w:val="left" w:pos="573" w:leader="none"/>
          <w:tab w:val="left" w:pos="684" w:leader="none"/>
        </w:tabs>
        <w:spacing w:lineRule="auto" w:line="276" w:before="234" w:after="0"/>
        <w:ind w:hanging="0" w:left="284"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End w:id="19"/>
    </w:p>
    <w:p>
      <w:pPr>
        <w:pStyle w:val="Heading1"/>
        <w:numPr>
          <w:ilvl w:val="0"/>
          <w:numId w:val="1"/>
        </w:numPr>
        <w:tabs>
          <w:tab w:val="clear" w:pos="720"/>
          <w:tab w:val="left" w:pos="384" w:leader="none"/>
        </w:tabs>
        <w:spacing w:lineRule="auto" w:line="276"/>
        <w:ind w:hanging="270" w:left="384"/>
        <w:rPr>
          <w:sz w:val="24"/>
          <w:szCs w:val="24"/>
        </w:rPr>
      </w:pPr>
      <w:r>
        <w:rPr>
          <w:sz w:val="24"/>
          <w:szCs w:val="24"/>
        </w:rPr>
        <w:t>Estimativa do Valor da Contratação</w:t>
      </w:r>
    </w:p>
    <w:p>
      <w:pPr>
        <w:pStyle w:val="normal1"/>
        <w:keepNext w:val="false"/>
        <w:keepLines w:val="false"/>
        <w:pageBreakBefore w:val="false"/>
        <w:widowControl/>
        <w:numPr>
          <w:ilvl w:val="1"/>
          <w:numId w:val="1"/>
        </w:numPr>
        <w:shd w:val="clear" w:fill="auto"/>
        <w:tabs>
          <w:tab w:val="clear" w:pos="720"/>
          <w:tab w:val="left" w:pos="709" w:leader="none"/>
        </w:tabs>
        <w:spacing w:lineRule="auto" w:line="276" w:before="234" w:after="0"/>
        <w:ind w:firstLine="28" w:left="114"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A estimativa de preços referencial da licitação do serviço é no valor de R$ </w:t>
      </w:r>
      <w:r>
        <w:rPr>
          <w:rFonts w:eastAsia="Times New Roman" w:cs="Times New Roman" w:ascii="Times New Roman" w:hAnsi="Times New Roman"/>
          <w:sz w:val="24"/>
          <w:szCs w:val="24"/>
        </w:rPr>
        <w:t>300.000,00</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Foi aplicado o Inciso IV do Art 5º da IN 73, de 5 de agosto de 2020, ou seja, pesquisa direta com fornecedores. </w:t>
      </w:r>
    </w:p>
    <w:p>
      <w:pPr>
        <w:pStyle w:val="normal1"/>
        <w:keepNext w:val="false"/>
        <w:keepLines w:val="false"/>
        <w:pageBreakBefore w:val="false"/>
        <w:widowControl/>
        <w:shd w:val="clear" w:fill="auto"/>
        <w:spacing w:lineRule="auto" w:line="276" w:before="6"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76" w:before="4" w:after="0"/>
        <w:ind w:hanging="0" w:left="0"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20" w:name="bookmark=id.17dp8vu"/>
      <w:bookmarkStart w:id="21" w:name="bookmark=id.17dp8vu"/>
      <w:bookmarkEnd w:id="21"/>
    </w:p>
    <w:p>
      <w:pPr>
        <w:pStyle w:val="Heading1"/>
        <w:numPr>
          <w:ilvl w:val="0"/>
          <w:numId w:val="1"/>
        </w:numPr>
        <w:tabs>
          <w:tab w:val="clear" w:pos="720"/>
          <w:tab w:val="left" w:pos="384" w:leader="none"/>
        </w:tabs>
        <w:spacing w:lineRule="auto" w:line="276"/>
        <w:ind w:hanging="270" w:left="384"/>
        <w:rPr>
          <w:sz w:val="24"/>
          <w:szCs w:val="24"/>
        </w:rPr>
      </w:pPr>
      <w:bookmarkStart w:id="22" w:name="bookmark=id.17dp8vu_Copia_1"/>
      <w:bookmarkEnd w:id="22"/>
      <w:r>
        <w:rPr>
          <w:sz w:val="24"/>
          <w:szCs w:val="24"/>
        </w:rPr>
        <w:t>Justificativa para o Parcelamento ou não da Solução</w:t>
      </w:r>
    </w:p>
    <w:p>
      <w:pPr>
        <w:pStyle w:val="normal1"/>
        <w:keepNext w:val="false"/>
        <w:keepLines w:val="false"/>
        <w:pageBreakBefore w:val="false"/>
        <w:widowControl/>
        <w:shd w:val="clear" w:fill="auto"/>
        <w:spacing w:lineRule="auto" w:line="276" w:before="234" w:after="0"/>
        <w:ind w:hanging="0" w:left="142" w:right="113"/>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9.1. A utilização do Pregão Tradicional é a forma que mais se adequa às necessidades deste Depósito, em razão dos serviços serem utilizados uma única vez.</w:t>
      </w:r>
      <w:bookmarkStart w:id="23" w:name="bookmark=id.3rdcrjn"/>
    </w:p>
    <w:p>
      <w:pPr>
        <w:pStyle w:val="Heading1"/>
        <w:numPr>
          <w:ilvl w:val="0"/>
          <w:numId w:val="1"/>
        </w:numPr>
        <w:tabs>
          <w:tab w:val="clear" w:pos="720"/>
          <w:tab w:val="left" w:pos="519" w:leader="none"/>
        </w:tabs>
        <w:spacing w:lineRule="auto" w:line="276" w:before="255" w:after="0"/>
        <w:ind w:hanging="405" w:left="519"/>
        <w:rPr>
          <w:sz w:val="24"/>
          <w:szCs w:val="24"/>
        </w:rPr>
      </w:pPr>
      <w:bookmarkEnd w:id="23"/>
      <w:r>
        <w:rPr>
          <w:sz w:val="24"/>
          <w:szCs w:val="24"/>
        </w:rPr>
        <w:t>Contratações Correlatas e/ou Interdependentes</w:t>
      </w:r>
    </w:p>
    <w:p>
      <w:pPr>
        <w:pStyle w:val="normal1"/>
        <w:keepNext w:val="false"/>
        <w:keepLines w:val="false"/>
        <w:pageBreakBefore w:val="false"/>
        <w:widowControl/>
        <w:numPr>
          <w:ilvl w:val="1"/>
          <w:numId w:val="1"/>
        </w:numPr>
        <w:shd w:val="clear" w:fill="auto"/>
        <w:tabs>
          <w:tab w:val="clear" w:pos="720"/>
          <w:tab w:val="left" w:pos="755" w:leader="none"/>
          <w:tab w:val="left" w:pos="851" w:leader="none"/>
        </w:tabs>
        <w:spacing w:lineRule="auto" w:line="276" w:before="234" w:after="0"/>
        <w:ind w:hanging="0" w:left="142" w:right="-13"/>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 contratação em epígrafe não possui correlação ou interdependência com outras licitações em curso no Depósito Central de Munição.</w:t>
      </w:r>
    </w:p>
    <w:p>
      <w:pPr>
        <w:pStyle w:val="normal1"/>
        <w:keepNext w:val="false"/>
        <w:keepLines w:val="false"/>
        <w:pageBreakBefore w:val="false"/>
        <w:widowControl/>
        <w:shd w:val="clear" w:fill="auto"/>
        <w:spacing w:lineRule="auto" w:line="276" w:before="0" w:after="0"/>
        <w:ind w:hanging="0" w:left="0"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24" w:name="bookmark=id.26in1rg"/>
      <w:bookmarkStart w:id="25" w:name="bookmark=id.26in1rg"/>
      <w:bookmarkEnd w:id="25"/>
    </w:p>
    <w:p>
      <w:pPr>
        <w:pStyle w:val="Heading1"/>
        <w:numPr>
          <w:ilvl w:val="0"/>
          <w:numId w:val="1"/>
        </w:numPr>
        <w:tabs>
          <w:tab w:val="clear" w:pos="720"/>
          <w:tab w:val="left" w:pos="519" w:leader="none"/>
        </w:tabs>
        <w:spacing w:lineRule="auto" w:line="276"/>
        <w:ind w:hanging="405" w:left="519"/>
        <w:rPr>
          <w:sz w:val="24"/>
          <w:szCs w:val="24"/>
        </w:rPr>
      </w:pPr>
      <w:bookmarkStart w:id="26" w:name="bookmark=id.26in1rg_Copia_1"/>
      <w:bookmarkEnd w:id="26"/>
      <w:r>
        <w:rPr>
          <w:sz w:val="24"/>
          <w:szCs w:val="24"/>
        </w:rPr>
        <w:t>Alinhamento entre a Contratação e o Planejamento</w:t>
      </w:r>
    </w:p>
    <w:p>
      <w:pPr>
        <w:pStyle w:val="Heading1"/>
        <w:tabs>
          <w:tab w:val="clear" w:pos="720"/>
          <w:tab w:val="left" w:pos="519" w:leader="none"/>
        </w:tabs>
        <w:spacing w:lineRule="auto" w:line="276"/>
        <w:ind w:hanging="0" w:left="519"/>
        <w:rPr>
          <w:sz w:val="24"/>
          <w:szCs w:val="24"/>
        </w:rPr>
      </w:pPr>
      <w:r>
        <w:rPr>
          <w:sz w:val="24"/>
          <w:szCs w:val="24"/>
        </w:rPr>
      </w:r>
    </w:p>
    <w:p>
      <w:pPr>
        <w:pStyle w:val="normal1"/>
        <w:keepNext w:val="false"/>
        <w:keepLines w:val="false"/>
        <w:pageBreakBefore w:val="false"/>
        <w:widowControl/>
        <w:numPr>
          <w:ilvl w:val="1"/>
          <w:numId w:val="1"/>
        </w:numPr>
        <w:shd w:val="clear" w:fill="auto"/>
        <w:tabs>
          <w:tab w:val="clear" w:pos="720"/>
          <w:tab w:val="left" w:pos="709" w:leader="none"/>
        </w:tabs>
        <w:spacing w:lineRule="auto" w:line="276" w:before="5" w:after="0"/>
        <w:ind w:hanging="0" w:left="142" w:right="-13"/>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 presente contratação está alinhada ao planejamento estratégico do Depósito Central de Munição, no que tange ao licenciamento ambiental da atividade de descarte de munição e explosivos, o qual será a partir desse contrato.</w:t>
      </w:r>
    </w:p>
    <w:p>
      <w:pPr>
        <w:pStyle w:val="normal1"/>
        <w:keepNext w:val="false"/>
        <w:keepLines w:val="false"/>
        <w:pageBreakBefore w:val="false"/>
        <w:widowControl/>
        <w:shd w:val="clear" w:fill="auto"/>
        <w:spacing w:lineRule="auto" w:line="276" w:before="9" w:after="0"/>
        <w:ind w:hanging="0" w:left="0"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27" w:name="bookmark=id.lnxbz9"/>
      <w:bookmarkStart w:id="28" w:name="bookmark=id.35nkun2"/>
      <w:bookmarkStart w:id="29" w:name="bookmark=id.lnxbz9"/>
      <w:bookmarkStart w:id="30" w:name="bookmark=id.35nkun2"/>
      <w:bookmarkEnd w:id="29"/>
      <w:bookmarkEnd w:id="30"/>
    </w:p>
    <w:p>
      <w:pPr>
        <w:pStyle w:val="Heading1"/>
        <w:numPr>
          <w:ilvl w:val="0"/>
          <w:numId w:val="1"/>
        </w:numPr>
        <w:tabs>
          <w:tab w:val="clear" w:pos="720"/>
          <w:tab w:val="left" w:pos="519" w:leader="none"/>
        </w:tabs>
        <w:spacing w:lineRule="auto" w:line="276" w:before="1" w:after="0"/>
        <w:ind w:hanging="405" w:left="519"/>
        <w:rPr>
          <w:sz w:val="24"/>
          <w:szCs w:val="24"/>
        </w:rPr>
      </w:pPr>
      <w:bookmarkStart w:id="31" w:name="bookmark=id.lnxbz9_Copia_1"/>
      <w:bookmarkStart w:id="32" w:name="bookmark=id.35nkun2_Copia_1"/>
      <w:bookmarkEnd w:id="31"/>
      <w:bookmarkEnd w:id="32"/>
      <w:r>
        <w:rPr>
          <w:sz w:val="24"/>
          <w:szCs w:val="24"/>
        </w:rPr>
        <w:t>Resultados Pretendidos</w:t>
      </w:r>
    </w:p>
    <w:p>
      <w:pPr>
        <w:pStyle w:val="normal1"/>
        <w:keepNext w:val="false"/>
        <w:keepLines w:val="false"/>
        <w:pageBreakBefore w:val="false"/>
        <w:widowControl/>
        <w:shd w:val="clear" w:fill="auto"/>
        <w:spacing w:lineRule="auto" w:line="276" w:before="4" w:after="0"/>
        <w:ind w:hanging="0" w:left="0"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numPr>
          <w:ilvl w:val="1"/>
          <w:numId w:val="1"/>
        </w:numPr>
        <w:shd w:val="clear" w:fill="auto"/>
        <w:spacing w:lineRule="auto" w:line="276" w:before="0" w:after="0"/>
        <w:ind w:hanging="0" w:left="142"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 contratação do serviço servirá de subsídio para a obtenção da Licença de Operação junto ao Instituto Brasileiro do Meio Ambiente e dos Recursos Naturais Renováveis necessário visto a exigência da sentença judicial exarada no âmbito da Ação Civil Pública (ACP) nº 5064206-02.2019.4.02.5101/RJ.</w:t>
      </w:r>
    </w:p>
    <w:p>
      <w:pPr>
        <w:pStyle w:val="normal1"/>
        <w:keepNext w:val="false"/>
        <w:keepLines w:val="false"/>
        <w:pageBreakBefore w:val="false"/>
        <w:widowControl/>
        <w:shd w:val="clear" w:fill="auto"/>
        <w:spacing w:lineRule="auto" w:line="276" w:before="0" w:after="0"/>
        <w:ind w:hanging="0" w:left="142"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33" w:name="bookmark=id.1ksv4uv"/>
      <w:bookmarkStart w:id="34" w:name="bookmark=id.1ksv4uv"/>
      <w:bookmarkEnd w:id="34"/>
    </w:p>
    <w:p>
      <w:pPr>
        <w:pStyle w:val="Heading1"/>
        <w:numPr>
          <w:ilvl w:val="0"/>
          <w:numId w:val="1"/>
        </w:numPr>
        <w:tabs>
          <w:tab w:val="clear" w:pos="720"/>
          <w:tab w:val="left" w:pos="519" w:leader="none"/>
        </w:tabs>
        <w:spacing w:lineRule="auto" w:line="276" w:before="135" w:after="0"/>
        <w:ind w:hanging="377" w:left="519"/>
        <w:rPr>
          <w:sz w:val="24"/>
          <w:szCs w:val="24"/>
        </w:rPr>
      </w:pPr>
      <w:bookmarkStart w:id="35" w:name="bookmark=id.1ksv4uv_Copia_1"/>
      <w:bookmarkEnd w:id="35"/>
      <w:r>
        <w:rPr>
          <w:sz w:val="24"/>
          <w:szCs w:val="24"/>
        </w:rPr>
        <w:t>Providências a serem Adotadas</w:t>
      </w:r>
    </w:p>
    <w:p>
      <w:pPr>
        <w:pStyle w:val="normal1"/>
        <w:keepNext w:val="false"/>
        <w:keepLines w:val="false"/>
        <w:pageBreakBefore w:val="false"/>
        <w:widowControl/>
        <w:shd w:val="clear" w:fill="auto"/>
        <w:spacing w:lineRule="auto" w:line="276" w:before="6"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numPr>
          <w:ilvl w:val="1"/>
          <w:numId w:val="1"/>
        </w:numPr>
        <w:shd w:val="clear" w:fill="auto"/>
        <w:tabs>
          <w:tab w:val="clear" w:pos="720"/>
          <w:tab w:val="left" w:pos="709" w:leader="none"/>
        </w:tabs>
        <w:spacing w:lineRule="auto" w:line="276" w:before="0" w:after="0"/>
        <w:ind w:hanging="0" w:left="142" w:right="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Conferir se todas as exigências contidas no processo foram atendidas, solicitando a imediata correção em caso da execução do serviço seja diverso daquele solicitado.</w:t>
      </w:r>
    </w:p>
    <w:p>
      <w:pPr>
        <w:pStyle w:val="normal1"/>
        <w:keepNext w:val="false"/>
        <w:keepLines w:val="false"/>
        <w:pageBreakBefore w:val="false"/>
        <w:widowControl/>
        <w:numPr>
          <w:ilvl w:val="1"/>
          <w:numId w:val="1"/>
        </w:numPr>
        <w:shd w:val="clear" w:fill="auto"/>
        <w:tabs>
          <w:tab w:val="clear" w:pos="720"/>
          <w:tab w:val="left" w:pos="709" w:leader="none"/>
          <w:tab w:val="left" w:pos="851" w:leader="none"/>
        </w:tabs>
        <w:spacing w:lineRule="auto" w:line="276" w:before="0" w:after="0"/>
        <w:ind w:hanging="0" w:left="142"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 licitante vencedora deverá fornecer o serviço para o Depósito Central de Munição em até 90 dias após o recebimento da nota de empenho.</w:t>
      </w:r>
    </w:p>
    <w:p>
      <w:pPr>
        <w:pStyle w:val="normal1"/>
        <w:keepNext w:val="false"/>
        <w:keepLines w:val="false"/>
        <w:pageBreakBefore w:val="false"/>
        <w:widowControl/>
        <w:shd w:val="clear" w:fill="auto"/>
        <w:tabs>
          <w:tab w:val="clear" w:pos="720"/>
          <w:tab w:val="left" w:pos="891" w:leader="none"/>
        </w:tabs>
        <w:spacing w:lineRule="auto" w:line="276" w:before="0" w:after="0"/>
        <w:ind w:hanging="0" w:left="568"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36" w:name="bookmark=id.44sinio"/>
      <w:bookmarkStart w:id="37" w:name="bookmark=id.44sinio"/>
      <w:bookmarkEnd w:id="37"/>
    </w:p>
    <w:p>
      <w:pPr>
        <w:pStyle w:val="Heading1"/>
        <w:numPr>
          <w:ilvl w:val="0"/>
          <w:numId w:val="1"/>
        </w:numPr>
        <w:tabs>
          <w:tab w:val="clear" w:pos="720"/>
          <w:tab w:val="left" w:pos="519" w:leader="none"/>
        </w:tabs>
        <w:spacing w:lineRule="auto" w:line="276" w:before="161" w:after="0"/>
        <w:ind w:hanging="405" w:left="519"/>
        <w:rPr>
          <w:sz w:val="24"/>
          <w:szCs w:val="24"/>
        </w:rPr>
      </w:pPr>
      <w:bookmarkStart w:id="38" w:name="bookmark=id.44sinio_Copia_1"/>
      <w:bookmarkEnd w:id="38"/>
      <w:r>
        <w:rPr>
          <w:sz w:val="24"/>
          <w:szCs w:val="24"/>
        </w:rPr>
        <w:t>Possíveis Impactos Ambientais</w:t>
      </w:r>
    </w:p>
    <w:p>
      <w:pPr>
        <w:pStyle w:val="normal1"/>
        <w:keepNext w:val="false"/>
        <w:keepLines w:val="false"/>
        <w:pageBreakBefore w:val="false"/>
        <w:widowControl/>
        <w:shd w:val="clear" w:fill="auto"/>
        <w:spacing w:lineRule="auto" w:line="276" w:before="5" w:after="0"/>
        <w:ind w:hanging="0" w:left="0"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numPr>
          <w:ilvl w:val="1"/>
          <w:numId w:val="1"/>
        </w:numPr>
        <w:shd w:val="clear" w:fill="auto"/>
        <w:tabs>
          <w:tab w:val="clear" w:pos="720"/>
          <w:tab w:val="left" w:pos="845" w:leader="none"/>
        </w:tabs>
        <w:spacing w:lineRule="auto" w:line="276" w:before="0" w:after="0"/>
        <w:ind w:hanging="0" w:left="142" w:right="113"/>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Em cumprimento ao disposto no Art. 5º da IN/SLTI/MPOG nº 01, de 19 de janeiro de 2010, que dispõe sobre os critérios de sustentabilidade ambiental na contratação de serviços pela Administração Pública Federal Direta, os fornecedores deverão obedecer, sob pena de não aceitação do serviço, aos seguintes critérios:</w:t>
      </w:r>
    </w:p>
    <w:p>
      <w:pPr>
        <w:pStyle w:val="normal1"/>
        <w:keepNext w:val="false"/>
        <w:keepLines w:val="false"/>
        <w:pageBreakBefore w:val="false"/>
        <w:widowControl/>
        <w:numPr>
          <w:ilvl w:val="1"/>
          <w:numId w:val="1"/>
        </w:numPr>
        <w:shd w:val="clear" w:fill="auto"/>
        <w:tabs>
          <w:tab w:val="clear" w:pos="720"/>
          <w:tab w:val="left" w:pos="845" w:leader="none"/>
        </w:tabs>
        <w:spacing w:lineRule="auto" w:line="276" w:before="0" w:after="0"/>
        <w:ind w:hanging="0" w:left="142" w:right="113"/>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Que na execução do serviço seja fornecido aos empregados os equipamentos de segurança que se fizerem necessários;</w:t>
      </w:r>
    </w:p>
    <w:p>
      <w:pPr>
        <w:pStyle w:val="normal1"/>
        <w:keepNext w:val="false"/>
        <w:keepLines w:val="false"/>
        <w:pageBreakBefore w:val="false"/>
        <w:widowControl/>
        <w:shd w:val="clear" w:fill="auto"/>
        <w:tabs>
          <w:tab w:val="clear" w:pos="720"/>
          <w:tab w:val="left" w:pos="845" w:leader="none"/>
        </w:tabs>
        <w:spacing w:lineRule="auto" w:line="276" w:before="0" w:after="0"/>
        <w:ind w:hanging="0" w:left="142" w:right="113"/>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numPr>
          <w:ilvl w:val="1"/>
          <w:numId w:val="1"/>
        </w:numPr>
        <w:shd w:val="clear" w:fill="auto"/>
        <w:tabs>
          <w:tab w:val="clear" w:pos="720"/>
          <w:tab w:val="left" w:pos="845" w:leader="none"/>
        </w:tabs>
        <w:spacing w:lineRule="auto" w:line="276" w:before="0" w:after="0"/>
        <w:ind w:hanging="0" w:left="142" w:right="113"/>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Que respeite as Normas Brasileiras – NBR publicadas pela Associação Brasileira de Normas Técnicas sobre resíduos sólidos;</w:t>
      </w:r>
    </w:p>
    <w:p>
      <w:pPr>
        <w:pStyle w:val="normal1"/>
        <w:keepNext w:val="false"/>
        <w:keepLines w:val="false"/>
        <w:pageBreakBefore w:val="false"/>
        <w:widowControl/>
        <w:shd w:val="clear" w:fill="auto"/>
        <w:spacing w:lineRule="auto" w:line="276" w:before="5"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numPr>
          <w:ilvl w:val="1"/>
          <w:numId w:val="1"/>
        </w:numPr>
        <w:shd w:val="clear" w:fill="auto"/>
        <w:tabs>
          <w:tab w:val="clear" w:pos="720"/>
          <w:tab w:val="left" w:pos="845" w:leader="none"/>
        </w:tabs>
        <w:spacing w:lineRule="auto" w:line="276" w:before="0" w:after="0"/>
        <w:ind w:hanging="0" w:left="142" w:right="-13"/>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Os critérios acima estabelecidos, minimizam os impactos ambientais, oferecendo condições de reciclagem ou disposição adequada dos resíduos ou embalagens após utilização.</w:t>
      </w:r>
    </w:p>
    <w:p>
      <w:pPr>
        <w:pStyle w:val="normal1"/>
        <w:keepNext w:val="false"/>
        <w:keepLines w:val="false"/>
        <w:pageBreakBefore w:val="false"/>
        <w:widowControl/>
        <w:shd w:val="clear" w:fill="auto"/>
        <w:tabs>
          <w:tab w:val="clear" w:pos="720"/>
          <w:tab w:val="left" w:pos="1118" w:leader="none"/>
        </w:tabs>
        <w:spacing w:lineRule="auto" w:line="276" w:before="1" w:after="0"/>
        <w:ind w:firstLine="521" w:left="0"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39" w:name="bookmark=id.2jxsxqh"/>
      <w:bookmarkStart w:id="40" w:name="bookmark=id.2jxsxqh"/>
      <w:bookmarkEnd w:id="40"/>
    </w:p>
    <w:p>
      <w:pPr>
        <w:pStyle w:val="Heading1"/>
        <w:numPr>
          <w:ilvl w:val="0"/>
          <w:numId w:val="1"/>
        </w:numPr>
        <w:tabs>
          <w:tab w:val="clear" w:pos="720"/>
          <w:tab w:val="left" w:pos="519" w:leader="none"/>
        </w:tabs>
        <w:spacing w:lineRule="auto" w:line="276" w:before="89" w:after="0"/>
        <w:ind w:hanging="405" w:left="519"/>
        <w:rPr>
          <w:sz w:val="24"/>
          <w:szCs w:val="24"/>
        </w:rPr>
      </w:pPr>
      <w:bookmarkStart w:id="41" w:name="bookmark=id.2jxsxqh_Copia_1"/>
      <w:bookmarkEnd w:id="41"/>
      <w:r>
        <w:rPr>
          <w:sz w:val="24"/>
          <w:szCs w:val="24"/>
        </w:rPr>
        <w:t>Declaração de Viabilidade</w:t>
      </w:r>
    </w:p>
    <w:p>
      <w:pPr>
        <w:pStyle w:val="normal1"/>
        <w:keepNext w:val="false"/>
        <w:keepLines w:val="false"/>
        <w:pageBreakBefore w:val="false"/>
        <w:widowControl/>
        <w:shd w:val="clear" w:fill="auto"/>
        <w:spacing w:lineRule="auto" w:line="276" w:before="239" w:after="0"/>
        <w:ind w:hanging="0" w:left="142" w:right="-13"/>
        <w:jc w:val="both"/>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Esta equipe de planejamento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declara viável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esta</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contratação com base neste Estudo Técnico Preliminar.</w:t>
      </w:r>
    </w:p>
    <w:p>
      <w:pPr>
        <w:pStyle w:val="normal1"/>
        <w:spacing w:lineRule="auto" w:line="276" w:before="239" w:after="0"/>
        <w:ind w:hanging="425" w:left="567" w:right="170"/>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15.1. </w:t>
      </w:r>
      <w:r>
        <w:rPr>
          <w:rFonts w:eastAsia="Times New Roman" w:cs="Times New Roman" w:ascii="Times New Roman" w:hAnsi="Times New Roman"/>
          <w:b/>
          <w:sz w:val="24"/>
          <w:szCs w:val="24"/>
          <w:highlight w:val="white"/>
        </w:rPr>
        <w:t>Justificativa da Viabilidade</w:t>
      </w:r>
    </w:p>
    <w:p>
      <w:pPr>
        <w:pStyle w:val="normal1"/>
        <w:tabs>
          <w:tab w:val="clear" w:pos="720"/>
          <w:tab w:val="left" w:pos="563" w:leader="none"/>
        </w:tabs>
        <w:spacing w:lineRule="auto" w:line="276"/>
        <w:ind w:hanging="0" w:left="142"/>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Tendo em vista o princípio da economicidade, nota-se que a referida licitação é a que gerará maior vantajosidade para a Administração Pública Federal, uma vez que permitirá uma garantia do controle ambiental a ser realizado na área de destruição do quartel.</w:t>
      </w:r>
    </w:p>
    <w:p>
      <w:pPr>
        <w:pStyle w:val="normal1"/>
        <w:spacing w:lineRule="auto" w:line="276"/>
        <w:ind w:hanging="0" w:left="142"/>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As despesas referentes ao referido processo estão em conformidade com o Inciso II do Art. 16 da Lei Complementar nº 101 de 4 de maio de 2000 (Lei de Responsabilidade Fiscal). A contratação não se refere à criação, expansão ou aperfeiçoamento de ação governamental que acarrete aumento da despesa em relação à Lei Orçamentária Anual, a Lei de Diretrizes Orçamentárias e o Plano Plurianual, de acordo com a Lei de Responsabilidade Fiscal. A despesa contratual relativa ao atual exercício está adequada à Lei Orçamentária Anual (LOA) e à Lei de Diretrizes Orçamentárias (LDO) por meio de crédito orçamentário contemplado pela Diretoria de Patrimônio Imobiliário e Meio Ambiente (DEC – Departamento de Engenharia e Construção)</w:t>
      </w:r>
    </w:p>
    <w:p>
      <w:pPr>
        <w:pStyle w:val="normal1"/>
        <w:spacing w:lineRule="auto" w:line="276"/>
        <w:ind w:hanging="0" w:left="142"/>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jc w:val="center"/>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Paracambi-RJ, _____ de ____________ de 2025.</w:t>
      </w:r>
    </w:p>
    <w:p>
      <w:pPr>
        <w:pStyle w:val="normal1"/>
        <w:spacing w:lineRule="auto" w:line="276"/>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keepNext w:val="false"/>
        <w:keepLines w:val="false"/>
        <w:pageBreakBefore w:val="false"/>
        <w:widowControl/>
        <w:shd w:val="clear" w:fill="auto"/>
        <w:spacing w:lineRule="auto" w:line="240" w:before="0" w:after="0"/>
        <w:ind w:hanging="0" w:left="0" w:right="0"/>
        <w:jc w:val="left"/>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40" w:before="240" w:after="0"/>
        <w:ind w:hanging="0" w:left="0" w:right="0"/>
        <w:jc w:val="center"/>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shd w:val="clear" w:fill="auto"/>
        <w:spacing w:lineRule="auto" w:line="240" w:before="240" w:after="0"/>
        <w:ind w:hanging="0" w:left="0" w:right="0"/>
        <w:jc w:val="center"/>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sz w:val="24"/>
          <w:szCs w:val="24"/>
        </w:rPr>
        <w:t>RONALDO EIDY IRIE</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sz w:val="24"/>
          <w:szCs w:val="24"/>
        </w:rPr>
        <w:t xml:space="preserve"> CAP</w:t>
      </w:r>
    </w:p>
    <w:p>
      <w:pPr>
        <w:pStyle w:val="normal1"/>
        <w:keepNext w:val="false"/>
        <w:keepLines w:val="false"/>
        <w:pageBreakBefore w:val="false"/>
        <w:widowControl/>
        <w:shd w:val="clear" w:fill="auto"/>
        <w:spacing w:lineRule="auto" w:line="240" w:before="0" w:after="0"/>
        <w:ind w:hanging="0" w:left="0" w:right="0"/>
        <w:jc w:val="center"/>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Chefe da Equipe de Planejamento de Contratação</w:t>
      </w:r>
    </w:p>
    <w:p>
      <w:pPr>
        <w:pStyle w:val="normal1"/>
        <w:keepNext w:val="false"/>
        <w:keepLines w:val="false"/>
        <w:pageBreakBefore w:val="false"/>
        <w:widowControl/>
        <w:shd w:val="clear" w:fill="auto"/>
        <w:spacing w:lineRule="auto" w:line="240" w:before="0" w:after="0"/>
        <w:ind w:hanging="0" w:left="0" w:right="0"/>
        <w:jc w:val="center"/>
        <w:rPr>
          <w:rFonts w:ascii="Times New Roman" w:hAnsi="Times New Roman" w:eastAsia="Times New Roman" w:cs="Times New Roman"/>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Oficial do Meio Ambiente</w:t>
      </w:r>
    </w:p>
    <w:p>
      <w:pPr>
        <w:pStyle w:val="normal1"/>
        <w:spacing w:lineRule="auto" w:line="276"/>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rPr>
          <w:rFonts w:ascii="Times New Roman" w:hAnsi="Times New Roman" w:eastAsia="Times New Roman" w:cs="Times New Roman"/>
          <w:sz w:val="24"/>
          <w:szCs w:val="24"/>
        </w:rPr>
      </w:pPr>
      <w:r>
        <w:rPr>
          <w:rFonts w:eastAsia="Times New Roman" w:cs="Times New Roman" w:ascii="Times New Roman" w:hAnsi="Times New Roman"/>
          <w:sz w:val="24"/>
          <w:szCs w:val="24"/>
        </w:rPr>
        <w:t>APROVAÇÃO:</w:t>
      </w:r>
    </w:p>
    <w:p>
      <w:pPr>
        <w:pStyle w:val="normal1"/>
        <w:spacing w:lineRule="auto" w:line="276"/>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1"/>
        <w:spacing w:lineRule="auto" w:line="276"/>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t>ROBERTO DA SILVA DOS SANTOS – TEN CEL</w:t>
      </w:r>
    </w:p>
    <w:p>
      <w:pPr>
        <w:pStyle w:val="normal1"/>
        <w:spacing w:lineRule="auto" w:line="276"/>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Ordenador de despesas do D C MUN</w:t>
      </w:r>
    </w:p>
    <w:p>
      <w:pPr>
        <w:sectPr>
          <w:type w:val="continuous"/>
          <w:pgSz w:w="11906" w:h="16838"/>
          <w:pgMar w:left="1140" w:right="1140" w:gutter="0" w:header="469" w:top="1060" w:footer="467" w:bottom="660"/>
          <w:formProt w:val="false"/>
          <w:textDirection w:val="lrTb"/>
          <w:docGrid w:type="default" w:linePitch="100" w:charSpace="0"/>
        </w:sectPr>
      </w:pPr>
    </w:p>
    <w:p>
      <w:pPr>
        <w:pStyle w:val="normal1"/>
        <w:spacing w:lineRule="auto" w:line="276"/>
        <w:rPr>
          <w:rFonts w:ascii="Times New Roman" w:hAnsi="Times New Roman" w:eastAsia="Times New Roman" w:cs="Times New Roman"/>
          <w:sz w:val="24"/>
          <w:szCs w:val="24"/>
        </w:rPr>
      </w:pPr>
      <w:r>
        <w:rPr>
          <w:rFonts w:eastAsia="Times New Roman" w:cs="Times New Roman" w:ascii="Times New Roman" w:hAnsi="Times New Roman"/>
          <w:sz w:val="24"/>
          <w:szCs w:val="24"/>
        </w:rPr>
      </w:r>
    </w:p>
    <w:sectPr>
      <w:type w:val="continuous"/>
      <w:pgSz w:w="11906" w:h="16838"/>
      <w:pgMar w:left="1140" w:right="1140" w:gutter="0" w:header="469" w:top="1060" w:footer="467" w:bottom="660"/>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auto"/>
    <w:pitch w:val="variable"/>
  </w:font>
  <w:font w:name="DejaVuSans">
    <w:charset w:val="00"/>
    <w:family w:val="auto"/>
    <w:pitch w:val="variable"/>
  </w:font>
  <w:font w:name="DejaVuSans-Bold">
    <w:charset w:val="00"/>
    <w:family w:val="auto"/>
    <w:pitch w:val="variable"/>
  </w:font>
  <w:font w:name="Calibri">
    <w:charset w:val="00"/>
    <w:family w:val="auto"/>
    <w:pitch w:val="variable"/>
  </w:font>
  <w:font w:name="Liberation Sans">
    <w:altName w:val="Arial"/>
    <w:charset w:val="00"/>
    <w:family w:val="swiss"/>
    <w:pitch w:val="variable"/>
  </w:font>
  <w:font w:name="Georgia">
    <w:charset w:val="00"/>
    <w:family w:val="auto"/>
    <w:pitch w:val="variable"/>
  </w:font>
  <w:font w:name="Noto Sans Symbols">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spacing w:lineRule="auto" w:line="240" w:before="0" w:after="0"/>
      <w:ind w:hanging="0" w:left="0" w:right="0"/>
      <w:jc w:val="left"/>
      <w:rPr>
        <w:rFonts w:ascii="Arial" w:hAnsi="Arial" w:eastAsia="Arial" w:cs="Arial"/>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spacing w:lineRule="auto" w:line="240" w:before="0" w:after="0"/>
      <w:ind w:hanging="0" w:left="0" w:right="0"/>
      <w:jc w:val="left"/>
      <w:rPr>
        <w:rFonts w:ascii="Arial" w:hAnsi="Arial" w:eastAsia="Arial" w:cs="Arial"/>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spacing w:lineRule="auto" w:line="240" w:before="0" w:after="0"/>
      <w:ind w:hanging="0" w:left="0" w:right="0"/>
      <w:jc w:val="left"/>
      <w:rPr>
        <w:rFonts w:ascii="Arial" w:hAnsi="Arial" w:eastAsia="Arial" w:cs="Arial"/>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mc:AlternateContent>
        <mc:Choice Requires="wps">
          <w:drawing>
            <wp:anchor behindDoc="1" distT="0" distB="0" distL="0" distR="0" simplePos="0" locked="0" layoutInCell="0" allowOverlap="1" relativeHeight="14">
              <wp:simplePos x="0" y="0"/>
              <wp:positionH relativeFrom="page">
                <wp:posOffset>702945</wp:posOffset>
              </wp:positionH>
              <wp:positionV relativeFrom="page">
                <wp:posOffset>281305</wp:posOffset>
              </wp:positionV>
              <wp:extent cx="729615" cy="167640"/>
              <wp:effectExtent l="0" t="0" r="0" b="0"/>
              <wp:wrapNone/>
              <wp:docPr id="2" name="Shape 3"/>
              <a:graphic xmlns:a="http://schemas.openxmlformats.org/drawingml/2006/main">
                <a:graphicData uri="http://schemas.microsoft.com/office/word/2010/wordprocessingShape">
                  <wps:wsp>
                    <wps:cNvSpPr/>
                    <wps:spPr>
                      <a:xfrm>
                        <a:off x="0" y="0"/>
                        <a:ext cx="729720" cy="167760"/>
                      </a:xfrm>
                      <a:prstGeom prst="rect">
                        <a:avLst/>
                      </a:prstGeom>
                      <a:noFill/>
                      <a:ln w="0">
                        <a:noFill/>
                      </a:ln>
                    </wps:spPr>
                    <wps:style>
                      <a:lnRef idx="0"/>
                      <a:fillRef idx="0"/>
                      <a:effectRef idx="0"/>
                      <a:fontRef idx="minor"/>
                    </wps:style>
                    <wps:txbx>
                      <w:txbxContent>
                        <w:p>
                          <w:pPr>
                            <w:pStyle w:val="Contedodoquadro"/>
                            <w:spacing w:lineRule="exact" w:line="240" w:before="12" w:after="0"/>
                            <w:ind w:hanging="0" w:left="20" w:right="0"/>
                            <w:jc w:val="left"/>
                            <w:rPr/>
                          </w:pPr>
                          <w:r>
                            <w:rPr>
                              <w:rFonts w:eastAsia="Times New Roman" w:cs="Times New Roman" w:ascii="Times New Roman" w:hAnsi="Times New Roman"/>
                              <w:b/>
                              <w:i w:val="false"/>
                              <w:caps w:val="false"/>
                              <w:smallCaps w:val="false"/>
                              <w:strike w:val="false"/>
                              <w:dstrike w:val="false"/>
                              <w:color w:val="000000"/>
                              <w:position w:val="0"/>
                              <w:sz w:val="18"/>
                              <w:sz w:val="18"/>
                              <w:vertAlign w:val="baseline"/>
                            </w:rPr>
                            <w:t>UASG 160246</w:t>
                          </w:r>
                        </w:p>
                      </w:txbxContent>
                    </wps:txbx>
                    <wps:bodyPr lIns="0" rIns="0" tIns="0" bIns="0" anchor="t">
                      <a:noAutofit/>
                    </wps:bodyPr>
                  </wps:wsp>
                </a:graphicData>
              </a:graphic>
            </wp:anchor>
          </w:drawing>
        </mc:Choice>
        <mc:Fallback>
          <w:pict>
            <v:rect id="shape_0" ID="Shape 3" path="m0,0l-2147483645,0l-2147483645,-2147483646l0,-2147483646xe" stroked="f" o:allowincell="f" style="position:absolute;margin-left:55.35pt;margin-top:22.15pt;width:57.4pt;height:13.15pt;mso-wrap-style:square;v-text-anchor:top;mso-position-horizontal-relative:page;mso-position-vertical-relative:page">
              <v:fill o:detectmouseclick="t" on="false"/>
              <v:stroke color="#3465a4" joinstyle="round" endcap="flat"/>
              <v:textbox>
                <w:txbxContent>
                  <w:p>
                    <w:pPr>
                      <w:pStyle w:val="Contedodoquadro"/>
                      <w:spacing w:lineRule="exact" w:line="240" w:before="12" w:after="0"/>
                      <w:ind w:hanging="0" w:left="20" w:right="0"/>
                      <w:jc w:val="left"/>
                      <w:rPr/>
                    </w:pPr>
                    <w:r>
                      <w:rPr>
                        <w:rFonts w:eastAsia="Times New Roman" w:cs="Times New Roman" w:ascii="Times New Roman" w:hAnsi="Times New Roman"/>
                        <w:b/>
                        <w:i w:val="false"/>
                        <w:caps w:val="false"/>
                        <w:smallCaps w:val="false"/>
                        <w:strike w:val="false"/>
                        <w:dstrike w:val="false"/>
                        <w:color w:val="000000"/>
                        <w:position w:val="0"/>
                        <w:sz w:val="18"/>
                        <w:sz w:val="18"/>
                        <w:vertAlign w:val="baseline"/>
                      </w:rPr>
                      <w:t>UASG 160246</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spacing w:lineRule="auto" w:line="240" w:before="0" w:after="0"/>
      <w:ind w:hanging="0" w:left="0" w:right="0"/>
      <w:jc w:val="left"/>
      <w:rPr>
        <w:rFonts w:ascii="Arial" w:hAnsi="Arial" w:eastAsia="Arial" w:cs="Arial"/>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mc:AlternateContent>
        <mc:Choice Requires="wps">
          <w:drawing>
            <wp:anchor behindDoc="1" distT="0" distB="0" distL="0" distR="0" simplePos="0" locked="0" layoutInCell="0" allowOverlap="1" relativeHeight="14">
              <wp:simplePos x="0" y="0"/>
              <wp:positionH relativeFrom="page">
                <wp:posOffset>702945</wp:posOffset>
              </wp:positionH>
              <wp:positionV relativeFrom="page">
                <wp:posOffset>281305</wp:posOffset>
              </wp:positionV>
              <wp:extent cx="729615" cy="167640"/>
              <wp:effectExtent l="0" t="0" r="0" b="0"/>
              <wp:wrapNone/>
              <wp:docPr id="3" name="Shape 3"/>
              <a:graphic xmlns:a="http://schemas.openxmlformats.org/drawingml/2006/main">
                <a:graphicData uri="http://schemas.microsoft.com/office/word/2010/wordprocessingShape">
                  <wps:wsp>
                    <wps:cNvSpPr/>
                    <wps:spPr>
                      <a:xfrm>
                        <a:off x="0" y="0"/>
                        <a:ext cx="729720" cy="167760"/>
                      </a:xfrm>
                      <a:prstGeom prst="rect">
                        <a:avLst/>
                      </a:prstGeom>
                      <a:noFill/>
                      <a:ln w="0">
                        <a:noFill/>
                      </a:ln>
                    </wps:spPr>
                    <wps:style>
                      <a:lnRef idx="0"/>
                      <a:fillRef idx="0"/>
                      <a:effectRef idx="0"/>
                      <a:fontRef idx="minor"/>
                    </wps:style>
                    <wps:txbx>
                      <w:txbxContent>
                        <w:p>
                          <w:pPr>
                            <w:pStyle w:val="Contedodoquadro"/>
                            <w:spacing w:lineRule="exact" w:line="240" w:before="12" w:after="0"/>
                            <w:ind w:hanging="0" w:left="20" w:right="0"/>
                            <w:jc w:val="left"/>
                            <w:rPr/>
                          </w:pPr>
                          <w:r>
                            <w:rPr>
                              <w:rFonts w:eastAsia="Times New Roman" w:cs="Times New Roman" w:ascii="Times New Roman" w:hAnsi="Times New Roman"/>
                              <w:b/>
                              <w:i w:val="false"/>
                              <w:caps w:val="false"/>
                              <w:smallCaps w:val="false"/>
                              <w:strike w:val="false"/>
                              <w:dstrike w:val="false"/>
                              <w:color w:val="000000"/>
                              <w:position w:val="0"/>
                              <w:sz w:val="18"/>
                              <w:sz w:val="18"/>
                              <w:vertAlign w:val="baseline"/>
                            </w:rPr>
                            <w:t>UASG 160246</w:t>
                          </w:r>
                        </w:p>
                      </w:txbxContent>
                    </wps:txbx>
                    <wps:bodyPr lIns="0" rIns="0" tIns="0" bIns="0" anchor="t">
                      <a:noAutofit/>
                    </wps:bodyPr>
                  </wps:wsp>
                </a:graphicData>
              </a:graphic>
            </wp:anchor>
          </w:drawing>
        </mc:Choice>
        <mc:Fallback>
          <w:pict>
            <v:rect id="shape_0" ID="Shape 3" path="m0,0l-2147483645,0l-2147483645,-2147483646l0,-2147483646xe" stroked="f" o:allowincell="f" style="position:absolute;margin-left:55.35pt;margin-top:22.15pt;width:57.4pt;height:13.15pt;mso-wrap-style:square;v-text-anchor:top;mso-position-horizontal-relative:page;mso-position-vertical-relative:page">
              <v:fill o:detectmouseclick="t" on="false"/>
              <v:stroke color="#3465a4" joinstyle="round" endcap="flat"/>
              <v:textbox>
                <w:txbxContent>
                  <w:p>
                    <w:pPr>
                      <w:pStyle w:val="Contedodoquadro"/>
                      <w:spacing w:lineRule="exact" w:line="240" w:before="12" w:after="0"/>
                      <w:ind w:hanging="0" w:left="20" w:right="0"/>
                      <w:jc w:val="left"/>
                      <w:rPr/>
                    </w:pPr>
                    <w:r>
                      <w:rPr>
                        <w:rFonts w:eastAsia="Times New Roman" w:cs="Times New Roman" w:ascii="Times New Roman" w:hAnsi="Times New Roman"/>
                        <w:b/>
                        <w:i w:val="false"/>
                        <w:caps w:val="false"/>
                        <w:smallCaps w:val="false"/>
                        <w:strike w:val="false"/>
                        <w:dstrike w:val="false"/>
                        <w:color w:val="000000"/>
                        <w:position w:val="0"/>
                        <w:sz w:val="18"/>
                        <w:sz w:val="18"/>
                        <w:vertAlign w:val="baseline"/>
                      </w:rPr>
                      <w:t>UASG 160246</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84" w:hanging="270"/>
      </w:pPr>
      <w:rPr>
        <w:sz w:val="24"/>
        <w:b/>
        <w:szCs w:val="24"/>
      </w:rPr>
    </w:lvl>
    <w:lvl w:ilvl="1">
      <w:start w:val="1"/>
      <w:numFmt w:val="decimal"/>
      <w:lvlText w:val="%1.%2."/>
      <w:lvlJc w:val="left"/>
      <w:pPr>
        <w:tabs>
          <w:tab w:val="num" w:pos="0"/>
        </w:tabs>
        <w:ind w:left="6022" w:hanging="351"/>
      </w:pPr>
      <w:rPr>
        <w:sz w:val="24"/>
        <w:szCs w:val="24"/>
        <w:rFonts w:ascii="Times New Roman" w:hAnsi="Times New Roman" w:eastAsia="Times New Roman" w:cs="Times New Roman"/>
      </w:rPr>
    </w:lvl>
    <w:lvl w:ilvl="2">
      <w:start w:val="1"/>
      <w:numFmt w:val="decimal"/>
      <w:lvlText w:val="%1.%2.%3."/>
      <w:lvlJc w:val="left"/>
      <w:pPr>
        <w:tabs>
          <w:tab w:val="num" w:pos="0"/>
        </w:tabs>
        <w:ind w:left="114" w:hanging="514"/>
      </w:pPr>
      <w:rPr>
        <w:sz w:val="18"/>
        <w:szCs w:val="18"/>
      </w:rPr>
    </w:lvl>
    <w:lvl w:ilvl="3">
      <w:start w:val="1"/>
      <w:numFmt w:val="decimal"/>
      <w:lvlText w:val="%1.%2.%3.%4."/>
      <w:lvlJc w:val="left"/>
      <w:pPr>
        <w:tabs>
          <w:tab w:val="num" w:pos="0"/>
        </w:tabs>
        <w:ind w:left="114" w:hanging="654"/>
      </w:pPr>
      <w:rPr>
        <w:sz w:val="18"/>
        <w:szCs w:val="18"/>
      </w:rPr>
    </w:lvl>
    <w:lvl w:ilvl="4">
      <w:start w:val="1"/>
      <w:numFmt w:val="bullet"/>
      <w:lvlText w:val="●"/>
      <w:lvlJc w:val="left"/>
      <w:pPr>
        <w:tabs>
          <w:tab w:val="num" w:pos="0"/>
        </w:tabs>
        <w:ind w:left="3021" w:hanging="654"/>
      </w:pPr>
      <w:rPr>
        <w:rFonts w:ascii="Noto Sans Symbols" w:hAnsi="Noto Sans Symbols" w:cs="Noto Sans Symbols" w:hint="default"/>
      </w:rPr>
    </w:lvl>
    <w:lvl w:ilvl="5">
      <w:start w:val="1"/>
      <w:numFmt w:val="bullet"/>
      <w:lvlText w:val="●"/>
      <w:lvlJc w:val="left"/>
      <w:pPr>
        <w:tabs>
          <w:tab w:val="num" w:pos="0"/>
        </w:tabs>
        <w:ind w:left="4122" w:hanging="654"/>
      </w:pPr>
      <w:rPr>
        <w:rFonts w:ascii="Noto Sans Symbols" w:hAnsi="Noto Sans Symbols" w:cs="Noto Sans Symbols" w:hint="default"/>
      </w:rPr>
    </w:lvl>
    <w:lvl w:ilvl="6">
      <w:start w:val="1"/>
      <w:numFmt w:val="bullet"/>
      <w:lvlText w:val="●"/>
      <w:lvlJc w:val="left"/>
      <w:pPr>
        <w:tabs>
          <w:tab w:val="num" w:pos="0"/>
        </w:tabs>
        <w:ind w:left="5222" w:hanging="654"/>
      </w:pPr>
      <w:rPr>
        <w:rFonts w:ascii="Noto Sans Symbols" w:hAnsi="Noto Sans Symbols" w:cs="Noto Sans Symbols" w:hint="default"/>
      </w:rPr>
    </w:lvl>
    <w:lvl w:ilvl="7">
      <w:start w:val="1"/>
      <w:numFmt w:val="bullet"/>
      <w:lvlText w:val="●"/>
      <w:lvlJc w:val="left"/>
      <w:pPr>
        <w:tabs>
          <w:tab w:val="num" w:pos="0"/>
        </w:tabs>
        <w:ind w:left="6323" w:hanging="654"/>
      </w:pPr>
      <w:rPr>
        <w:rFonts w:ascii="Noto Sans Symbols" w:hAnsi="Noto Sans Symbols" w:cs="Noto Sans Symbols" w:hint="default"/>
      </w:rPr>
    </w:lvl>
    <w:lvl w:ilvl="8">
      <w:start w:val="1"/>
      <w:numFmt w:val="bullet"/>
      <w:lvlText w:val="●"/>
      <w:lvlJc w:val="left"/>
      <w:pPr>
        <w:tabs>
          <w:tab w:val="num" w:pos="0"/>
        </w:tabs>
        <w:ind w:left="7424" w:hanging="654"/>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pt-PT" w:eastAsia="zh-CN" w:bidi="hi-IN"/>
      </w:rPr>
    </w:rPrDefault>
    <w:pPrDefault>
      <w:pPr>
        <w:suppressAutoHyphens w:val="true"/>
      </w:pPr>
    </w:pPrDefault>
  </w:docDefaults>
  <w:style w:type="paragraph" w:styleId="Normal" w:default="1">
    <w:name w:val="Normal"/>
    <w:uiPriority w:val="1"/>
    <w:qFormat/>
    <w:pPr>
      <w:widowControl/>
      <w:suppressAutoHyphens w:val="true"/>
      <w:bidi w:val="0"/>
      <w:spacing w:before="0" w:after="0"/>
      <w:jc w:val="left"/>
    </w:pPr>
    <w:rPr>
      <w:rFonts w:ascii="Arial" w:hAnsi="Arial" w:eastAsia="Arial" w:cs="Arial"/>
      <w:color w:val="auto"/>
      <w:kern w:val="0"/>
      <w:sz w:val="22"/>
      <w:szCs w:val="22"/>
      <w:lang w:val="pt-PT" w:eastAsia="zh-CN" w:bidi="hi-IN"/>
    </w:rPr>
  </w:style>
  <w:style w:type="paragraph" w:styleId="Heading1">
    <w:name w:val="heading 1"/>
    <w:basedOn w:val="normal1"/>
    <w:next w:val="normal1"/>
    <w:uiPriority w:val="1"/>
    <w:qFormat/>
    <w:pPr>
      <w:ind w:hanging="270" w:left="384"/>
      <w:outlineLvl w:val="0"/>
    </w:pPr>
    <w:rPr>
      <w:rFonts w:ascii="Times New Roman" w:hAnsi="Times New Roman" w:eastAsia="Times New Roman" w:cs="Times New Roman"/>
      <w:b/>
      <w:bCs/>
      <w:sz w:val="27"/>
      <w:szCs w:val="27"/>
    </w:rPr>
  </w:style>
  <w:style w:type="paragraph" w:styleId="Heading2">
    <w:name w:val="heading 2"/>
    <w:basedOn w:val="normal1"/>
    <w:next w:val="normal1"/>
    <w:link w:val="Ttulo2Char"/>
    <w:uiPriority w:val="9"/>
    <w:semiHidden/>
    <w:unhideWhenUsed/>
    <w:qFormat/>
    <w:rsid w:val="00314599"/>
    <w:pPr>
      <w:keepNext w:val="true"/>
      <w:keepLines/>
      <w:spacing w:before="40" w:after="0"/>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1"/>
    <w:next w:val="normal1"/>
    <w:link w:val="Ttulo3Char"/>
    <w:qFormat/>
    <w:rsid w:val="00930165"/>
    <w:pPr>
      <w:keepNext w:val="true"/>
      <w:tabs>
        <w:tab w:val="clear" w:pos="720"/>
        <w:tab w:val="left" w:pos="1440" w:leader="none"/>
      </w:tabs>
      <w:suppressAutoHyphens w:val="true"/>
      <w:ind w:hanging="514" w:left="114"/>
      <w:jc w:val="both"/>
      <w:outlineLvl w:val="2"/>
    </w:pPr>
    <w:rPr>
      <w:rFonts w:ascii="Times New Roman" w:hAnsi="Times New Roman" w:eastAsia="SimSun" w:cs="Times New Roman"/>
      <w:b/>
      <w:bCs/>
      <w:sz w:val="24"/>
      <w:szCs w:val="24"/>
      <w:lang w:val="pt-BR" w:eastAsia="zh-CN"/>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Ttulo3Char" w:customStyle="1">
    <w:name w:val="Título 3 Char"/>
    <w:basedOn w:val="DefaultParagraphFont"/>
    <w:qFormat/>
    <w:rsid w:val="00930165"/>
    <w:rPr>
      <w:rFonts w:ascii="Times New Roman" w:hAnsi="Times New Roman" w:eastAsia="SimSun" w:cs="Times New Roman"/>
      <w:b/>
      <w:bCs/>
      <w:sz w:val="24"/>
      <w:szCs w:val="24"/>
      <w:lang w:val="pt-BR" w:eastAsia="zh-CN"/>
    </w:rPr>
  </w:style>
  <w:style w:type="character" w:styleId="fontstyle01" w:customStyle="1">
    <w:name w:val="fontstyle01"/>
    <w:basedOn w:val="DefaultParagraphFont"/>
    <w:qFormat/>
    <w:rsid w:val="00e32f29"/>
    <w:rPr>
      <w:rFonts w:ascii="DejaVuSans" w:hAnsi="DejaVuSans"/>
      <w:b w:val="false"/>
      <w:bCs w:val="false"/>
      <w:i w:val="false"/>
      <w:iCs w:val="false"/>
      <w:color w:val="000000"/>
      <w:sz w:val="16"/>
      <w:szCs w:val="16"/>
    </w:rPr>
  </w:style>
  <w:style w:type="character" w:styleId="fontstyle21" w:customStyle="1">
    <w:name w:val="fontstyle21"/>
    <w:basedOn w:val="DefaultParagraphFont"/>
    <w:qFormat/>
    <w:rsid w:val="00e32f29"/>
    <w:rPr>
      <w:rFonts w:ascii="DejaVuSans-Bold" w:hAnsi="DejaVuSans-Bold"/>
      <w:b/>
      <w:bCs/>
      <w:i w:val="false"/>
      <w:iCs w:val="false"/>
      <w:color w:val="000000"/>
      <w:sz w:val="16"/>
      <w:szCs w:val="16"/>
    </w:rPr>
  </w:style>
  <w:style w:type="character" w:styleId="Ttulo2Char" w:customStyle="1">
    <w:name w:val="Título 2 Char"/>
    <w:basedOn w:val="DefaultParagraphFont"/>
    <w:uiPriority w:val="9"/>
    <w:semiHidden/>
    <w:qFormat/>
    <w:rsid w:val="00314599"/>
    <w:rPr>
      <w:rFonts w:ascii="Cambria" w:hAnsi="Cambria" w:eastAsia="" w:cs="" w:asciiTheme="majorHAnsi" w:cstheme="majorBidi" w:eastAsiaTheme="majorEastAsia" w:hAnsiTheme="majorHAnsi"/>
      <w:color w:themeColor="accent1" w:themeShade="bf" w:val="365F91"/>
      <w:sz w:val="26"/>
      <w:szCs w:val="26"/>
      <w:lang w:val="pt-PT"/>
    </w:rPr>
  </w:style>
  <w:style w:type="character" w:styleId="fontstyle31" w:customStyle="1">
    <w:name w:val="fontstyle31"/>
    <w:basedOn w:val="DefaultParagraphFont"/>
    <w:qFormat/>
    <w:rsid w:val="00d8599a"/>
    <w:rPr>
      <w:rFonts w:ascii="Calibri" w:hAnsi="Calibri" w:cs="Calibri"/>
      <w:b w:val="false"/>
      <w:bCs w:val="false"/>
      <w:i w:val="false"/>
      <w:iCs w:val="false"/>
      <w:color w:val="000000"/>
      <w:sz w:val="22"/>
      <w:szCs w:val="22"/>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1"/>
    <w:uiPriority w:val="1"/>
    <w:qFormat/>
    <w:pPr/>
    <w:rPr>
      <w:sz w:val="18"/>
      <w:szCs w:val="18"/>
    </w:rPr>
  </w:style>
  <w:style w:type="paragraph" w:styleId="List">
    <w:name w:val="List"/>
    <w:basedOn w:val="BodyText"/>
    <w:pPr/>
    <w:rPr>
      <w:rFonts w:cs="Lucida Sans"/>
    </w:rPr>
  </w:style>
  <w:style w:type="paragraph" w:styleId="Caption">
    <w:name w:val="caption"/>
    <w:basedOn w:val="normal1"/>
    <w:qFormat/>
    <w:pPr>
      <w:suppressLineNumbers/>
      <w:spacing w:before="120" w:after="120"/>
    </w:pPr>
    <w:rPr>
      <w:rFonts w:cs="Lucida Sans"/>
      <w:i/>
      <w:iCs/>
      <w:sz w:val="24"/>
      <w:szCs w:val="24"/>
    </w:rPr>
  </w:style>
  <w:style w:type="paragraph" w:styleId="ndice" w:customStyle="1">
    <w:name w:val="Índice"/>
    <w:basedOn w:val="normal1"/>
    <w:qFormat/>
    <w:pPr>
      <w:suppressLineNumbers/>
    </w:pPr>
    <w:rPr>
      <w:rFonts w:cs="Lucida Sans"/>
    </w:rPr>
  </w:style>
  <w:style w:type="paragraph" w:styleId="normal1" w:default="1">
    <w:name w:val="normal1"/>
    <w:qFormat/>
    <w:pPr>
      <w:widowControl/>
      <w:suppressAutoHyphens w:val="true"/>
      <w:bidi w:val="0"/>
      <w:spacing w:before="0" w:after="0"/>
      <w:jc w:val="left"/>
    </w:pPr>
    <w:rPr>
      <w:rFonts w:ascii="Arial" w:hAnsi="Arial" w:eastAsia="Arial" w:cs="Arial"/>
      <w:color w:val="auto"/>
      <w:kern w:val="0"/>
      <w:sz w:val="22"/>
      <w:szCs w:val="22"/>
      <w:lang w:val="pt-PT" w:eastAsia="zh-CN" w:bidi="hi-IN"/>
    </w:rPr>
  </w:style>
  <w:style w:type="paragraph" w:styleId="Title">
    <w:name w:val="Title"/>
    <w:basedOn w:val="normal1"/>
    <w:next w:val="BodyText"/>
    <w:uiPriority w:val="1"/>
    <w:qFormat/>
    <w:pPr>
      <w:spacing w:before="84" w:after="0"/>
      <w:ind w:left="2176" w:right="2184"/>
      <w:jc w:val="center"/>
    </w:pPr>
    <w:rPr>
      <w:rFonts w:ascii="Times New Roman" w:hAnsi="Times New Roman" w:eastAsia="Times New Roman" w:cs="Times New Roman"/>
      <w:b/>
      <w:bCs/>
      <w:sz w:val="36"/>
      <w:szCs w:val="36"/>
    </w:rPr>
  </w:style>
  <w:style w:type="paragraph" w:styleId="PargrafodaLista1" w:customStyle="1">
    <w:name w:val="Parágrafo da Lista1"/>
    <w:basedOn w:val="normal1"/>
    <w:qFormat/>
    <w:rsid w:val="007f0176"/>
    <w:pPr>
      <w:suppressAutoHyphens w:val="true"/>
    </w:pPr>
    <w:rPr>
      <w:rFonts w:ascii="Times New Roman" w:hAnsi="Times New Roman" w:eastAsia="Times New Roman" w:cs="Times New Roman"/>
      <w:sz w:val="24"/>
      <w:szCs w:val="24"/>
      <w:lang w:val="pt-BR" w:eastAsia="zh-CN"/>
    </w:rPr>
  </w:style>
  <w:style w:type="paragraph" w:styleId="TableParagraph" w:customStyle="1">
    <w:name w:val="Table Paragraph"/>
    <w:basedOn w:val="normal1"/>
    <w:uiPriority w:val="1"/>
    <w:qFormat/>
    <w:pPr/>
    <w:rPr/>
  </w:style>
  <w:style w:type="paragraph" w:styleId="Contedodoquadro" w:customStyle="1">
    <w:name w:val="Conteúdo do quadro"/>
    <w:basedOn w:val="normal1"/>
    <w:qFormat/>
    <w:pPr/>
    <w:rPr/>
  </w:style>
  <w:style w:type="paragraph" w:styleId="Cabealhoerodap">
    <w:name w:val="Cabeçalho e rodapé"/>
    <w:basedOn w:val="Normal"/>
    <w:qFormat/>
    <w:pPr/>
    <w:rPr/>
  </w:style>
  <w:style w:type="paragraph" w:styleId="Header">
    <w:name w:val="header"/>
    <w:basedOn w:val="normal1"/>
    <w:pPr/>
    <w:rPr/>
  </w:style>
  <w:style w:type="paragraph" w:styleId="Footer">
    <w:name w:val="footer"/>
    <w:basedOn w:val="normal1"/>
    <w:pPr/>
    <w:rPr/>
  </w:style>
  <w:style w:type="paragraph" w:styleId="Contedodatabela" w:customStyle="1">
    <w:name w:val="Conteúdo da tabela"/>
    <w:basedOn w:val="normal1"/>
    <w:qFormat/>
    <w:pPr>
      <w:suppressLineNumbers/>
    </w:pPr>
    <w:rPr/>
  </w:style>
  <w:style w:type="paragraph" w:styleId="ListParagraph">
    <w:name w:val="List Paragraph"/>
    <w:basedOn w:val="normal1"/>
    <w:uiPriority w:val="34"/>
    <w:qFormat/>
    <w:rsid w:val="003a6732"/>
    <w:pPr>
      <w:spacing w:before="0" w:after="0"/>
      <w:ind w:left="720"/>
      <w:contextualSpacing/>
    </w:pPr>
    <w:rPr/>
  </w:style>
  <w:style w:type="paragraph" w:styleId="DStyleparagraph" w:customStyle="1">
    <w:name w:val="DStyle_paragraph"/>
    <w:qFormat/>
    <w:rsid w:val="00600445"/>
    <w:pPr>
      <w:widowControl/>
      <w:suppressAutoHyphens w:val="true"/>
      <w:bidi w:val="0"/>
      <w:spacing w:before="0" w:after="200"/>
      <w:jc w:val="left"/>
    </w:pPr>
    <w:rPr>
      <w:rFonts w:ascii="Liberation Serif" w:hAnsi="Liberation Serif" w:eastAsia="Times New Roman" w:cs="Liberation Serif"/>
      <w:color w:val="000000"/>
      <w:kern w:val="0"/>
      <w:sz w:val="24"/>
      <w:szCs w:val="20"/>
      <w:lang w:val="pt-BR" w:eastAsia="pt-BR" w:bidi="hi-IN"/>
    </w:rPr>
  </w:style>
  <w:style w:type="paragraph" w:styleId="Standard" w:customStyle="1">
    <w:name w:val="Standard"/>
    <w:basedOn w:val="DStyleparagraph"/>
    <w:qFormat/>
    <w:rsid w:val="00600445"/>
    <w:pPr/>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Semlista" w:default="1">
    <w:name w:val="Sem lista"/>
    <w:uiPriority w:val="99"/>
    <w:semiHidden/>
    <w:unhideWhenUsed/>
    <w:qFormat/>
  </w:style>
  <w:style w:type="table" w:default="1" w:styleId="TableNormal">
    <w:name w:val="Table Normal"/>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p8cp9o/A9S02YqOf8eXA/kgbsOQ==">CgMxLjAyCWlkLmdqZGd4czIKaWQuMzBqMHpsbDIKaWQuMWZvYjl0ZTIKaWQuM3pueXNoNzIJaC4yZXQ5MnAwMglpZC50eWpjd3QyCmlkLjNkeTZ2a20yCmlkLjF0M2g1c2YyCmlkLjRkMzRvZzgyCmlkLjJzOGV5bzEyCmlkLjE3ZHA4dnUyCmlkLjNyZGNyam4yCmlkLjI2aW4xcmcyCmlkLjM1bmt1bjIyCWlkLmxueGJ6OTIKaWQuMWtzdjR1djIKaWQuNDRzaW5pbzIKaWQuMmp4c3hxaDgAciExUE9QY1NJS2JBZGVMNUlRS0J1bDJNUUhxZzlQWnl2e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2</TotalTime>
  <Application>LibreOffice/24.8.0.3$Windows_X86_64 LibreOffice_project/0bdf1299c94fe897b119f97f3c613e9dca6be583</Application>
  <AppVersion>15.0000</AppVersion>
  <Pages>6</Pages>
  <Words>1962</Words>
  <Characters>11095</Characters>
  <CharactersWithSpaces>13010</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2023-05-05T13:05:00Z</dcterms:created>
  <dc:creator>Glaucia Silva</dc:creator>
  <dc:description/>
  <dc:language>pt-BR</dc:language>
  <cp:lastModifiedBy/>
  <dcterms:modified xsi:type="dcterms:W3CDTF">2025-01-23T11:56:12Z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